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after="597" w:afterLines="100" w:line="52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山海关区</w:t>
      </w:r>
      <w:r>
        <w:rPr>
          <w:rFonts w:hint="eastAsia" w:ascii="方正小标宋简体" w:hAnsi="方正小标宋简体" w:eastAsia="方正小标宋简体" w:cs="方正小标宋简体"/>
          <w:sz w:val="44"/>
          <w:szCs w:val="44"/>
          <w:lang w:eastAsia="zh-CN"/>
        </w:rPr>
        <w:t>行政裁决事项清单（</w:t>
      </w:r>
      <w:r>
        <w:rPr>
          <w:rFonts w:hint="eastAsia" w:ascii="方正小标宋简体" w:hAnsi="方正小标宋简体" w:eastAsia="方正小标宋简体" w:cs="方正小标宋简体"/>
          <w:sz w:val="44"/>
          <w:szCs w:val="44"/>
          <w:lang w:val="en-US" w:eastAsia="zh-CN"/>
        </w:rPr>
        <w:t>2024年修订</w:t>
      </w:r>
      <w:r>
        <w:rPr>
          <w:rFonts w:hint="eastAsia" w:ascii="方正小标宋简体" w:hAnsi="方正小标宋简体" w:eastAsia="方正小标宋简体" w:cs="方正小标宋简体"/>
          <w:sz w:val="44"/>
          <w:szCs w:val="44"/>
          <w:lang w:eastAsia="zh-CN"/>
        </w:rPr>
        <w:t>版）</w:t>
      </w:r>
    </w:p>
    <w:tbl>
      <w:tblPr>
        <w:tblStyle w:val="6"/>
        <w:tblW w:w="13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380"/>
        <w:gridCol w:w="855"/>
        <w:gridCol w:w="1050"/>
        <w:gridCol w:w="2437"/>
        <w:gridCol w:w="1500"/>
        <w:gridCol w:w="1712"/>
        <w:gridCol w:w="1213"/>
        <w:gridCol w:w="2125"/>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91" w:type="dxa"/>
            <w:vMerge w:val="restart"/>
            <w:noWrap w:val="0"/>
            <w:vAlign w:val="center"/>
          </w:tcPr>
          <w:p>
            <w:pPr>
              <w:pStyle w:val="2"/>
              <w:jc w:val="center"/>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序号</w:t>
            </w:r>
          </w:p>
        </w:tc>
        <w:tc>
          <w:tcPr>
            <w:tcW w:w="1380"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行政裁决</w:t>
            </w:r>
          </w:p>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事项名称</w:t>
            </w:r>
          </w:p>
        </w:tc>
        <w:tc>
          <w:tcPr>
            <w:tcW w:w="855"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实施</w:t>
            </w:r>
          </w:p>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部门</w:t>
            </w:r>
          </w:p>
        </w:tc>
        <w:tc>
          <w:tcPr>
            <w:tcW w:w="10037" w:type="dxa"/>
            <w:gridSpan w:val="6"/>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设定依据</w:t>
            </w:r>
          </w:p>
        </w:tc>
        <w:tc>
          <w:tcPr>
            <w:tcW w:w="662" w:type="dxa"/>
            <w:vMerge w:val="restart"/>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91" w:type="dxa"/>
            <w:vMerge w:val="continue"/>
            <w:noWrap w:val="0"/>
            <w:vAlign w:val="center"/>
          </w:tcPr>
          <w:p>
            <w:pPr>
              <w:pStyle w:val="2"/>
              <w:jc w:val="center"/>
              <w:rPr>
                <w:rFonts w:hint="eastAsia" w:ascii="黑体" w:hAnsi="黑体" w:eastAsia="黑体" w:cs="黑体"/>
                <w:sz w:val="24"/>
                <w:szCs w:val="24"/>
                <w:vertAlign w:val="baseline"/>
                <w:lang w:eastAsia="zh-CN"/>
              </w:rPr>
            </w:pPr>
          </w:p>
        </w:tc>
        <w:tc>
          <w:tcPr>
            <w:tcW w:w="1380"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p>
        </w:tc>
        <w:tc>
          <w:tcPr>
            <w:tcW w:w="855"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p>
        </w:tc>
        <w:tc>
          <w:tcPr>
            <w:tcW w:w="1050"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法律</w:t>
            </w:r>
          </w:p>
        </w:tc>
        <w:tc>
          <w:tcPr>
            <w:tcW w:w="2437"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条款及内容</w:t>
            </w:r>
          </w:p>
        </w:tc>
        <w:tc>
          <w:tcPr>
            <w:tcW w:w="1500"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法规</w:t>
            </w:r>
          </w:p>
        </w:tc>
        <w:tc>
          <w:tcPr>
            <w:tcW w:w="1712"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条款及内容</w:t>
            </w:r>
          </w:p>
        </w:tc>
        <w:tc>
          <w:tcPr>
            <w:tcW w:w="1213"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规章等程</w:t>
            </w:r>
          </w:p>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序性规定</w:t>
            </w:r>
          </w:p>
        </w:tc>
        <w:tc>
          <w:tcPr>
            <w:tcW w:w="2125"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r>
              <w:rPr>
                <w:rFonts w:hint="eastAsia" w:ascii="黑体" w:hAnsi="黑体" w:eastAsia="黑体" w:cs="黑体"/>
                <w:sz w:val="24"/>
                <w:szCs w:val="24"/>
                <w:vertAlign w:val="baseline"/>
                <w:lang w:eastAsia="zh-CN"/>
              </w:rPr>
              <w:t>条款及内容</w:t>
            </w:r>
          </w:p>
        </w:tc>
        <w:tc>
          <w:tcPr>
            <w:tcW w:w="662" w:type="dxa"/>
            <w:vMerge w:val="continue"/>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3"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政府采购投诉处理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县级以上人民政府财政部门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《中华人民共和国政府采购法》</w:t>
            </w: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第五十五条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质疑供应商对采购人、采购代理机构的答复不满意或者采购人、采购代理机构未在规定的时间内作出答复的，可以在答复期满后十五个工作日内向同级政府采购监督管理部门投诉。</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第五十六条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政府采购监督管理部门应当在收到投诉后三十个工作日内，对投诉事项作出处理决定，并以书面形式通知投诉人和与投诉事项有关的当事人。</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第五十七条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政府采购监督管理部门在处理投诉事项期间，可以视具体情况书面通知采购人暂停采购活动，但暂停时间最长不得超过三十日。</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第五十八条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投诉人对政府采购监督管理部门的投诉处理决定不服或者政府采购监督管理部门逾期未作处理的，可以依法申请行政复议或者向人民法院提起行政诉讼。</w:t>
            </w: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《中华人民共和国政府采购法实施条例》</w:t>
            </w: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第五十六条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财政部门处理投诉事项采用书面审查的方式，必要时可以进行调查或者组织质证。</w:t>
            </w: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《政府采购质疑和投诉办法》</w:t>
            </w: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第五条</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县级以上各级人民政府财政部门负责依法处理供应商投诉。</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96" w:firstLineChars="100"/>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5"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2</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土地权属争议处理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乡级以上人民政府</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《中华人民共和国土地管理法》</w:t>
            </w: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第十四条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土地所有权和使用权争议，由当事人协商解决；协商不成的，由人民政府处理。</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单位之间的争议，由县级以上人民政府处理；个人之间、个人与单位之间的争议，由乡级人民政府或者县级以上人民政府处理。</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当事人对有关人民政府的处理决定不服的，可以自接到处理决定通知之日起三十日内，向人民法院起诉。</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在土地所有权和使用权争议解决前，任何一方不得改变土地利用现状。</w:t>
            </w: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《土地权属争议调查处理办法》</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ind w:left="0" w:leftChars="0" w:firstLine="0" w:firstLineChars="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第四条</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县级以上国土资源行政主管部门负责土地权属争议案件（以下简称争议案件）的调查和调解工作；对需要依法作出处理决定的，拟定处理意见，报同级人民政府作出处理决定。</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县级以上国土资源行政主管部门可以指定专门机构或者人员负责办理争议案件有关事宜。</w:t>
            </w:r>
          </w:p>
          <w:p>
            <w:pPr>
              <w:keepNext w:val="0"/>
              <w:keepLines w:val="0"/>
              <w:pageBreakBefore w:val="0"/>
              <w:widowControl/>
              <w:suppressLineNumbers w:val="0"/>
              <w:kinsoku/>
              <w:wordWrap/>
              <w:overflowPunct/>
              <w:topLinePunct w:val="0"/>
              <w:autoSpaceDE/>
              <w:autoSpaceDN/>
              <w:bidi w:val="0"/>
              <w:adjustRightInd/>
              <w:snapToGrid/>
              <w:spacing w:line="220" w:lineRule="exact"/>
              <w:ind w:left="0" w:leftChars="0" w:firstLine="0" w:firstLineChars="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第五条</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个人之间、个人与单位之间、单位与单位之间发生的争议案件，由争议土地所在地的县级国土资源行政主管部门调查处理。</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前款规定的个人之间、个人与单位之间发生的争议案件，可以根据当事人的申请，由乡级人民政府受理和处理。</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196" w:firstLineChars="100"/>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2"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3</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草原权属争议处理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乡级以上人民政府</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《中华人民共和国草原法》</w:t>
            </w: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第十六条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草原所有权、使用权的争议，由当事人协商解决；协商不成的，由有关人民政府处理。单位之间的争议，由县级以上人民政府处理；个人之间、个人与单位之间的争议，由乡（镇）人民政府或者县级以上人民政府处理。当事人对有关人民政府的处理决定不服的，可以依法向人民法院起诉。在草原权属争议解决前，任何一方不得改变草原利用现状，不得破坏草原和草原上的设施。</w:t>
            </w: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sz w:val="18"/>
                <w:szCs w:val="18"/>
                <w:lang w:eastAsia="zh-CN"/>
              </w:rPr>
              <w:t>注：</w:t>
            </w:r>
            <w:r>
              <w:rPr>
                <w:rFonts w:hint="eastAsia" w:ascii="仿宋_GB2312" w:hAnsi="仿宋_GB2312" w:eastAsia="仿宋_GB2312" w:cs="仿宋_GB2312"/>
                <w:sz w:val="18"/>
                <w:szCs w:val="18"/>
              </w:rPr>
              <w:t>《自然资源部职能配置、内设机构和人员编制规定》中规定，“制定各类自然资源和不动产统一确权登记、权籍调查、不动产测绘、争议调处、成果应用的制度、标准、规范。”《自然资源统一确权登记工作方案》中规定，“县级以上地方人民政府和自然资源主管部门要配合、支持自然资源部做好自然资源权籍调查、界限核实、权属争议调处等相关工作。”</w:t>
            </w: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0"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4</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林木林地权属争议处理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乡级以上人民政府</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《中华人民共和国森林法》</w:t>
            </w: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ind w:left="0" w:leftChars="0" w:firstLine="0" w:firstLineChars="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第二十二条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单位之间发生的林木、林地所有权和使用权争议，由县级以上人民政府依法处理。个人之间、个人与单位之间发生的林木所有权和林地使用权争议，由乡镇人民政府或者县级以上人民政府依法处理。当事人对有关人民政府的处理决定不服的，可以自接到处理决定通知之日起三十日内，向人民法院起诉。在林木、林地权属争议解决前，除因森林防火、林业有害生物防治、国家重大基础设施建设等需要外，当事人任何一方不得砍伐有争议的林木或者改变林地现状。</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96" w:firstLineChars="100"/>
              <w:jc w:val="both"/>
              <w:textAlignment w:val="center"/>
              <w:rPr>
                <w:rFonts w:hint="eastAsia" w:ascii="仿宋_GB2312" w:hAnsi="仿宋_GB2312" w:eastAsia="仿宋_GB2312" w:cs="仿宋_GB2312"/>
                <w:i w:val="0"/>
                <w:color w:val="000000"/>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《林木林地权属争议处理办法》</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第四条</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林权争议由各级人民政府依法作出处理决定。林业部、地方各级人民政府林业行政主管部门或者人民政府设立的林权争议处理机构（以下统称林权争议处理机构）按照管理权限分别负责办理林权争议处理的具体工作。</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第五条</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176" w:firstLineChars="100"/>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林权争议发生后，当事人所在地林权争议处理机构应当及时向所在地人民政府报告，并采取有效措施防止事态扩大。在林权争议解决以前，任何单位和个人不得采伐有争议的林木，不得在有争议的林地上从事基本建设或者其他生产活动。</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sz w:val="18"/>
                <w:szCs w:val="18"/>
                <w:lang w:eastAsia="zh-CN"/>
              </w:rPr>
              <w:t>注：</w:t>
            </w:r>
            <w:r>
              <w:rPr>
                <w:rFonts w:hint="eastAsia" w:ascii="仿宋_GB2312" w:hAnsi="仿宋_GB2312" w:eastAsia="仿宋_GB2312" w:cs="仿宋_GB2312"/>
                <w:sz w:val="18"/>
                <w:szCs w:val="18"/>
              </w:rPr>
              <w:t>《自然资源部职能配置、内设机构和人员编制规定》中规定，“制定各类自然资源和不动产统一确权登记、权籍调查、不动产测绘、争议调处、成果应用的制度、标准、规范。”《自然资源统一确权登记工作方案》中规定，“县级以上地方人民政府和自然资源主管部门要配合、支持自然资源部做好自然资源权籍调查、界限核实、权属争议调处等相关工作。”</w:t>
            </w: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6"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5</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海域使用权争议行政调解</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县级以上人民政府海洋行政主管部门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《中华人民共和国海域使用管理法》</w:t>
            </w: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第三十一条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因海域使用权发生争议，当事人协商解决不成的，由县级以上人民政府海洋行政主管部门调解；当事人也可以直接向人民法院提起诉讼。</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在海域使用权争议解决前，任何一方不得改变海域使用现状。</w:t>
            </w: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0"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6</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客运经营者在发车时间安排上发生纠纷的裁决</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县级以上交通运输主管部门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4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5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《中华人民共和国道路运输条例》</w:t>
            </w:r>
          </w:p>
        </w:tc>
        <w:tc>
          <w:tcPr>
            <w:tcW w:w="171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第四十一条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道路旅客运输站（场）经营者应当为客运经营者合理安排班次，公布其运输线路、起止经停站点、运输班次、始发时间、票价，调度车辆进站、发车，疏导旅客，维持上下车秩序。</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第六十八条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违反本条例的规定，客运经营者有下列情形之一的，由县级以上地方人民政府交通运输主管部门责令改正，处1000元以上2000元以下的罚款；情节严重的，由原许可机关吊销道路运输经营许可证：（一）不按批准的客运站点停靠或者不按规定的线路</w:t>
            </w:r>
            <w:r>
              <w:rPr>
                <w:rFonts w:hint="eastAsia" w:ascii="仿宋_GB2312" w:hAnsi="仿宋_GB2312" w:eastAsia="仿宋_GB2312" w:cs="仿宋_GB2312"/>
                <w:i w:val="0"/>
                <w:color w:val="000000"/>
                <w:kern w:val="0"/>
                <w:sz w:val="16"/>
                <w:szCs w:val="16"/>
                <w:u w:val="none"/>
                <w:lang w:val="en-US" w:eastAsia="zh-CN" w:bidi="ar"/>
              </w:rPr>
              <w:t>、</w:t>
            </w:r>
            <w:r>
              <w:rPr>
                <w:rFonts w:hint="eastAsia" w:ascii="仿宋_GB2312" w:hAnsi="仿宋_GB2312" w:eastAsia="仿宋_GB2312" w:cs="仿宋_GB2312"/>
                <w:i w:val="0"/>
                <w:color w:val="000000"/>
                <w:kern w:val="0"/>
                <w:sz w:val="18"/>
                <w:szCs w:val="18"/>
                <w:u w:val="none"/>
                <w:lang w:val="en-US" w:eastAsia="zh-CN" w:bidi="ar"/>
              </w:rPr>
              <w:t>公布的班次行驶的。</w:t>
            </w:r>
          </w:p>
        </w:tc>
        <w:tc>
          <w:tcPr>
            <w:tcW w:w="12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《道路旅客运输及客运站管理规定》</w:t>
            </w:r>
          </w:p>
        </w:tc>
        <w:tc>
          <w:tcPr>
            <w:tcW w:w="21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第七十四条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客运站经营者应当禁止无证经营的车辆进站从事经营活动，无正当理由不得拒绝合法客运车辆进站经营。客运站经营者应当坚持公平、公正原则，合理安排发车时间，公平售票。客运经营者在发车时间安排上发生纠纷，客运站经营者协调无效时，由当地交通运输主管部门裁定。</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bl>
    <w:tbl>
      <w:tblPr>
        <w:tblStyle w:val="6"/>
        <w:tblpPr w:leftFromText="180" w:rightFromText="180" w:vertAnchor="text" w:horzAnchor="page" w:tblpX="1940" w:tblpY="178"/>
        <w:tblOverlap w:val="never"/>
        <w:tblW w:w="13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380"/>
        <w:gridCol w:w="855"/>
        <w:gridCol w:w="1050"/>
        <w:gridCol w:w="2324"/>
        <w:gridCol w:w="1350"/>
        <w:gridCol w:w="1850"/>
        <w:gridCol w:w="1625"/>
        <w:gridCol w:w="1625"/>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691"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7</w:t>
            </w:r>
          </w:p>
        </w:tc>
        <w:tc>
          <w:tcPr>
            <w:tcW w:w="138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水事纠纷裁决</w:t>
            </w:r>
          </w:p>
        </w:tc>
        <w:tc>
          <w:tcPr>
            <w:tcW w:w="85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县级以上人民政府或其授权的部门或河道主管机关</w:t>
            </w:r>
          </w:p>
        </w:tc>
        <w:tc>
          <w:tcPr>
            <w:tcW w:w="105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《中华人民共和国水法》</w:t>
            </w:r>
          </w:p>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32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第五十六条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不同行政区域之间发生水事纠纷的，应当协商处理；协商不成的，由上一级人民政府裁决，有关各方必须遵照执行。在水事纠纷解决前，未经各方达成协议或者共同的上一级人民政府批准，在行政区域交界线两侧一定范围内，任何一方不得修建排水、阻水、取水和截（蓄）水工程，不得单方面改变水的现状。</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第五十七条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单位之间、个人之间、单位与个人之间发生的水事纠纷，应当协商解决；当事人不愿协商或者协商不成的，可以申请县级以上地方人民政府或者其授权的部门调解，也可以直接向人民法院提起民事诉讼。县级以上地方人民政府或者其授权的部门调解不成的，当事人可以向人民法院提起民事诉讼。</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《中华人民共和国防汛条例》</w:t>
            </w: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lang w:val="en-US" w:eastAsia="zh-CN"/>
              </w:rPr>
            </w:pPr>
            <w:r>
              <w:rPr>
                <w:rFonts w:hint="eastAsia" w:ascii="仿宋_GB2312" w:hAnsi="仿宋_GB2312" w:eastAsia="仿宋_GB2312" w:cs="仿宋_GB2312"/>
                <w:i w:val="0"/>
                <w:color w:val="000000"/>
                <w:kern w:val="0"/>
                <w:sz w:val="18"/>
                <w:szCs w:val="18"/>
                <w:u w:val="none"/>
                <w:lang w:val="en-US" w:eastAsia="zh-CN" w:bidi="ar"/>
              </w:rPr>
              <w:t>第十九条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地区之间在防汛抗洪方面发生的水事纠纷，由发生纠纷地区共同的上一级人民政府或其授权的主管部门处理。</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691"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38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85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05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32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《中华人民共和国河道管理条例》</w:t>
            </w: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第四十七条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对违反本条例规定，造成国家、集体、个人经济损失的，受害方可以请求县级以上河道主管机关处理。受害方也可以直接向人民法院起诉。</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当事人对河北主管机关的处理决定不服的，可以在接到通知之日起，15日内向人民法院起诉。</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atLeast"/>
        </w:trPr>
        <w:tc>
          <w:tcPr>
            <w:tcW w:w="691"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38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85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050"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32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《河北省水利工程管理条例》</w:t>
            </w: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第十四条 </w:t>
            </w:r>
          </w:p>
          <w:p>
            <w:pPr>
              <w:keepNext w:val="0"/>
              <w:keepLines w:val="0"/>
              <w:pageBreakBefore w:val="0"/>
              <w:widowControl/>
              <w:suppressLineNumbers w:val="0"/>
              <w:kinsoku/>
              <w:wordWrap/>
              <w:overflowPunct/>
              <w:topLinePunct w:val="0"/>
              <w:autoSpaceDE/>
              <w:autoSpaceDN/>
              <w:bidi w:val="0"/>
              <w:adjustRightInd/>
              <w:snapToGrid/>
              <w:spacing w:line="220" w:lineRule="exact"/>
              <w:ind w:firstLine="352" w:firstLineChars="200"/>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边界水利工程管理，应当遵守下列规定：（三）边界水利工程的有关各方因使用水利工程发生争议时，争议各方应当协商解决，协商不成的，由有关各方共同的人民政府裁决。</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8</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不同行政区域之间发生水土流失纠纷裁决</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发生水土流失纠纷的不同行政区域共同的上一级人民政府</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20"/>
                <w:szCs w:val="20"/>
                <w:u w:val="none"/>
                <w:lang w:val="en-US" w:eastAsia="zh-CN" w:bidi="ar"/>
              </w:rPr>
              <w:t>《中华人民共和国水土保持法》</w:t>
            </w: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18"/>
                <w:szCs w:val="18"/>
                <w:u w:val="none"/>
                <w:lang w:val="en-US" w:eastAsia="zh-CN" w:bidi="ar"/>
              </w:rPr>
            </w:pPr>
            <w:r>
              <w:rPr>
                <w:rFonts w:hint="eastAsia" w:ascii="仿宋_GB2312" w:hAnsi="仿宋_GB2312" w:eastAsia="仿宋_GB2312" w:cs="仿宋_GB2312"/>
                <w:i w:val="0"/>
                <w:color w:val="auto"/>
                <w:kern w:val="0"/>
                <w:sz w:val="18"/>
                <w:szCs w:val="18"/>
                <w:u w:val="none"/>
                <w:lang w:val="en-US" w:eastAsia="zh-CN" w:bidi="ar"/>
              </w:rPr>
              <w:t>第四十六条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r>
              <w:rPr>
                <w:rFonts w:hint="eastAsia" w:ascii="仿宋_GB2312" w:hAnsi="仿宋_GB2312" w:eastAsia="仿宋_GB2312" w:cs="仿宋_GB2312"/>
                <w:i w:val="0"/>
                <w:color w:val="auto"/>
                <w:kern w:val="0"/>
                <w:sz w:val="18"/>
                <w:szCs w:val="18"/>
                <w:u w:val="none"/>
                <w:lang w:val="en-US" w:eastAsia="zh-CN" w:bidi="ar"/>
              </w:rPr>
              <w:t>　不同行政区域之间发生水土流失纠纷应当协商解决；协商不成的，由共同的上一级人民政府裁决。</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18"/>
                <w:szCs w:val="18"/>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auto"/>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2"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9</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侵犯植物新品种权处理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县级以上人民政府林业主管部门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《中华人民共和国种子法》</w:t>
            </w: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第七十二条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违反本法第二十八条规定，有侵犯植物新品种权行为的，由当事人协商解决，不愿协商或者协商不成的，植物新品种权所有人或者利害关系人可以请求县级以上人民政府农业农村、林业草原主管部门进行处理，也可以直接向人民法院提起诉讼。县级以上人民政府农业农村、林业草原主管部门，根据当事人自愿的原则，对侵犯植物新品种权所造成的损害赔偿可以进行调解。</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《中华人民共和国植物新品种保护条例》</w:t>
            </w: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第三十九条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未经品种权人许可，以商业目的生产或者销售授权品种的繁殖材料的，品种权人或者利害关系人可以请求省级以上人民政府农业、林业行政部门依据各自的职权进行处理，也可以直接向人民法院提起诉讼。</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省级以上人民政府农业、林业行政部门依据各自的职权，根据当事人自愿的原则，对侵权所造成的损害赔偿可以进行调解。调解达成协议的，当事人应当履行；调解未达成协议的，品种权人或者利害关系人可以依照民事诉讼程序向人民法院提起诉讼。</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《种子法》和《植物新品种保护条例》中关于侵犯植物新品种权的处理部门层级规定不一致，前者是“县级以上人民政府林业主管部门”，后者是“省级以上人民政府林业行政部门”。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0"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10</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企业名称争议裁决</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县级以上企业登记主管机关</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《企业名称登记管理规定》</w:t>
            </w:r>
          </w:p>
        </w:tc>
        <w:tc>
          <w:tcPr>
            <w:tcW w:w="1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第二十一条</w:t>
            </w:r>
          </w:p>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企业认为其他企业名称侵犯本企业名称合法权益的，可以向人民法院起诉或者请求为涉嫌侵权企业办理登记的企业登记机关处理。</w:t>
            </w:r>
          </w:p>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企业登记机关受理申请后，可以进行调解；调解不成的，企业登记机关应当自受理之日起3个月内作出行政裁决。</w:t>
            </w:r>
          </w:p>
        </w:tc>
        <w:tc>
          <w:tcPr>
            <w:tcW w:w="16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《企业名称登记管理规定实施办法》</w:t>
            </w:r>
          </w:p>
        </w:tc>
        <w:tc>
          <w:tcPr>
            <w:tcW w:w="16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第三十四条</w:t>
            </w:r>
          </w:p>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企业认为其他企业名称侵犯本企业名称合法权益的，可以向人民法院起诉或者请求为涉嫌侵权企业办理登记的企业登记机关处理。</w:t>
            </w:r>
          </w:p>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第三十五条</w:t>
            </w:r>
          </w:p>
          <w:p>
            <w:pPr>
              <w:keepNext w:val="0"/>
              <w:keepLines w:val="0"/>
              <w:pageBreakBefore w:val="0"/>
              <w:widowControl w:val="0"/>
              <w:kinsoku/>
              <w:wordWrap/>
              <w:overflowPunct/>
              <w:topLinePunct w:val="0"/>
              <w:autoSpaceDE/>
              <w:autoSpaceDN/>
              <w:bidi w:val="0"/>
              <w:adjustRightInd w:val="0"/>
              <w:snapToGrid w:val="0"/>
              <w:spacing w:line="240" w:lineRule="auto"/>
              <w:textAlignment w:val="center"/>
              <w:outlineLvl w:val="9"/>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企业登记机关负责企业名称争议裁决工作，应当根据工作需要依法配备符合条件的裁决人员，为企业名称争议裁决提供保障。</w:t>
            </w: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0"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11</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专利侵权纠纷处理</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地级市以上人民政府管理专利工作的部门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《中华人民共和国专利法》</w:t>
            </w: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第六十五条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未经专利权人许可，实施其专利，即侵犯其专利权，引起纠纷的，由当事人协商解决；不愿协商或者协商不成的，专利权人或者利害关系人可以向人民法院起诉，也可以请求管理专利工作的部门处理。</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FF"/>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《中华人民共和国专利法实施细则》</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FF"/>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第九十五条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省、自治区、直辖市人民政府管理专利工作的部门以及专利管理工作量大又有实际处理能力的地级市、自治州、盟、地区和直辖市的区人民政府管理专利工作的部门，可以处理和调解专利纠纷。</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第九十七条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当事人请求处理专利侵权纠纷或者调解专利纠纷的，由被请求人所在地或者侵权行为地的管理专利工作的部门管辖。</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两个以上管理专利工作的部门都有管辖权的专利纠纷，当事人可以向其中一个管理专利工作的部门提出请求；当事人向两个以上有管辖权的管理专利工作的部门提出请求的，由最先受理的管理专利工作的部门管辖。</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管理专利工作的部门对管辖权发生争议的，由其共同的上级人民政府管理专利工作的部门指定管辖；无共同上级人民政府管理专利工作的部门的，由国务院专利行政部门指定管辖。</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《河北省知识产权保护和促进条例》</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第三十八条</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县级以上人民政府知识产权主管部门、管理部门应当优化和完善知识产权纠纷调解程序。</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18"/>
                <w:szCs w:val="18"/>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 xml:space="preserve">  省、设区的市知识产权主管部门应当依法受理专利侵权纠纷行政裁决申请。行政裁决前可以遵循当事人自愿原则先行调解，调解不成的及时作出行政裁决。  </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7"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12</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计量纠纷仲裁检定</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县级以上人民政府计量行政部门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《中华人民共和国计量法实施细则》</w:t>
            </w:r>
          </w:p>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18"/>
                <w:szCs w:val="18"/>
                <w:u w:val="none"/>
                <w:lang w:val="en-US" w:eastAsia="zh-CN" w:bidi="ar"/>
              </w:rPr>
              <w:t>第二十三条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国务院计量行政部门和县级以上地方人民政府计量行政部门监督和贯彻实施计量法律、法规的职责是：</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（四）进行计量认证，组织仲裁检定，调解计量纠纷；</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（五）监督检查计量法律、法规的实施情况，对违反计量法律、法规的行为，按照本细则的有关规定进行处理。</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第三十四条</w:t>
            </w:r>
            <w:r>
              <w:rPr>
                <w:rFonts w:hint="eastAsia" w:ascii="仿宋_GB2312" w:hAnsi="仿宋_GB2312" w:eastAsia="仿宋_GB2312" w:cs="仿宋_GB2312"/>
                <w:i w:val="0"/>
                <w:color w:val="000000"/>
                <w:kern w:val="0"/>
                <w:sz w:val="18"/>
                <w:szCs w:val="18"/>
                <w:u w:val="none"/>
                <w:lang w:val="en-US" w:eastAsia="zh-CN" w:bidi="ar"/>
              </w:rPr>
              <w:br w:type="textWrapping"/>
            </w:r>
            <w:r>
              <w:rPr>
                <w:rFonts w:hint="eastAsia" w:ascii="仿宋_GB2312" w:hAnsi="仿宋_GB2312" w:eastAsia="仿宋_GB2312" w:cs="仿宋_GB2312"/>
                <w:i w:val="0"/>
                <w:color w:val="000000"/>
                <w:kern w:val="0"/>
                <w:sz w:val="18"/>
                <w:szCs w:val="18"/>
                <w:u w:val="none"/>
                <w:lang w:val="en-US" w:eastAsia="zh-CN" w:bidi="ar"/>
              </w:rPr>
              <w:t xml:space="preserve">  县级以上人民政府计量行政部门负责计量纠纷的调解和仲裁检定，并可根据司法机关、合同管理机关、涉外仲裁机关或者其他单位的委托，指定有关计量检定机构进行仲裁检定。</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3" w:hRule="atLeast"/>
        </w:trPr>
        <w:tc>
          <w:tcPr>
            <w:tcW w:w="6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i w:val="0"/>
                <w:color w:val="000000"/>
                <w:kern w:val="0"/>
                <w:sz w:val="20"/>
                <w:szCs w:val="20"/>
                <w:highlight w:val="none"/>
                <w:u w:val="none"/>
                <w:lang w:val="en-US" w:eastAsia="zh-CN" w:bidi="ar"/>
              </w:rPr>
            </w:pPr>
            <w:r>
              <w:rPr>
                <w:rFonts w:hint="eastAsia" w:ascii="仿宋_GB2312" w:hAnsi="仿宋_GB2312" w:eastAsia="仿宋_GB2312" w:cs="仿宋_GB2312"/>
                <w:i w:val="0"/>
                <w:color w:val="000000"/>
                <w:kern w:val="0"/>
                <w:sz w:val="20"/>
                <w:szCs w:val="20"/>
                <w:highlight w:val="none"/>
                <w:u w:val="none"/>
                <w:lang w:val="en-US" w:eastAsia="zh-CN" w:bidi="ar"/>
              </w:rPr>
              <w:t>13</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r>
              <w:rPr>
                <w:rFonts w:hint="eastAsia" w:ascii="仿宋_GB2312" w:hAnsi="仿宋_GB2312" w:eastAsia="仿宋_GB2312" w:cs="仿宋_GB2312"/>
                <w:i w:val="0"/>
                <w:color w:val="000000"/>
                <w:kern w:val="0"/>
                <w:sz w:val="20"/>
                <w:szCs w:val="20"/>
                <w:highlight w:val="none"/>
                <w:u w:val="none"/>
                <w:lang w:val="en-US" w:eastAsia="zh-CN" w:bidi="ar"/>
              </w:rPr>
              <w:t>医疗机构名称裁定</w:t>
            </w:r>
          </w:p>
        </w:tc>
        <w:tc>
          <w:tcPr>
            <w:tcW w:w="85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r>
              <w:rPr>
                <w:rFonts w:hint="eastAsia" w:ascii="仿宋_GB2312" w:hAnsi="仿宋_GB2312" w:eastAsia="仿宋_GB2312" w:cs="仿宋_GB2312"/>
                <w:i w:val="0"/>
                <w:color w:val="000000"/>
                <w:kern w:val="0"/>
                <w:sz w:val="20"/>
                <w:szCs w:val="20"/>
                <w:highlight w:val="none"/>
                <w:u w:val="none"/>
                <w:lang w:val="en-US" w:eastAsia="zh-CN" w:bidi="ar"/>
              </w:rPr>
              <w:t>卫生健康主管部门</w:t>
            </w:r>
          </w:p>
        </w:tc>
        <w:tc>
          <w:tcPr>
            <w:tcW w:w="10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p>
        </w:tc>
        <w:tc>
          <w:tcPr>
            <w:tcW w:w="232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FF"/>
                <w:kern w:val="0"/>
                <w:sz w:val="20"/>
                <w:szCs w:val="20"/>
                <w:highlight w:val="none"/>
                <w:u w:val="none"/>
                <w:lang w:val="en-US" w:eastAsia="zh-CN" w:bidi="ar"/>
              </w:rPr>
            </w:pPr>
            <w:r>
              <w:rPr>
                <w:rFonts w:hint="eastAsia" w:ascii="仿宋_GB2312" w:hAnsi="仿宋_GB2312" w:eastAsia="仿宋_GB2312" w:cs="仿宋_GB2312"/>
                <w:i w:val="0"/>
                <w:color w:val="000000"/>
                <w:kern w:val="0"/>
                <w:sz w:val="20"/>
                <w:szCs w:val="20"/>
                <w:highlight w:val="none"/>
                <w:u w:val="none"/>
                <w:lang w:val="en-US" w:eastAsia="zh-CN" w:bidi="ar"/>
              </w:rPr>
              <w:t>《医疗机构管理条例实施细则》</w:t>
            </w:r>
          </w:p>
        </w:tc>
        <w:tc>
          <w:tcPr>
            <w:tcW w:w="18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kern w:val="0"/>
                <w:sz w:val="18"/>
                <w:szCs w:val="18"/>
                <w:highlight w:val="none"/>
                <w:u w:val="none"/>
                <w:lang w:val="en-US" w:eastAsia="zh-CN" w:bidi="ar"/>
              </w:rPr>
            </w:pPr>
            <w:r>
              <w:rPr>
                <w:rFonts w:hint="eastAsia" w:ascii="仿宋_GB2312" w:hAnsi="仿宋_GB2312" w:eastAsia="仿宋_GB2312" w:cs="仿宋_GB2312"/>
                <w:i w:val="0"/>
                <w:color w:val="000000"/>
                <w:kern w:val="0"/>
                <w:sz w:val="18"/>
                <w:szCs w:val="18"/>
                <w:highlight w:val="none"/>
                <w:u w:val="none"/>
                <w:lang w:val="en-US" w:eastAsia="zh-CN" w:bidi="ar"/>
              </w:rPr>
              <w:t>第四十九条</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176" w:firstLineChars="100"/>
              <w:jc w:val="both"/>
              <w:textAlignment w:val="center"/>
              <w:rPr>
                <w:rFonts w:hint="eastAsia" w:ascii="仿宋_GB2312" w:hAnsi="仿宋_GB2312" w:eastAsia="仿宋_GB2312" w:cs="仿宋_GB2312"/>
                <w:i w:val="0"/>
                <w:color w:val="000000"/>
                <w:kern w:val="0"/>
                <w:sz w:val="18"/>
                <w:szCs w:val="18"/>
                <w:highlight w:val="none"/>
                <w:u w:val="none"/>
                <w:lang w:val="en-US" w:eastAsia="zh-CN" w:bidi="ar"/>
              </w:rPr>
            </w:pPr>
            <w:r>
              <w:rPr>
                <w:rFonts w:hint="eastAsia" w:ascii="仿宋_GB2312" w:hAnsi="仿宋_GB2312" w:eastAsia="仿宋_GB2312" w:cs="仿宋_GB2312"/>
                <w:i w:val="0"/>
                <w:color w:val="000000"/>
                <w:kern w:val="0"/>
                <w:sz w:val="18"/>
                <w:szCs w:val="18"/>
                <w:highlight w:val="none"/>
                <w:u w:val="none"/>
                <w:lang w:val="en-US" w:eastAsia="zh-CN" w:bidi="ar"/>
              </w:rPr>
              <w:t>两个以上申请人向同一核准机关申请相同的医疗机构名称，核准机关依照申请在先原则核定。属于同一天申请的，应当由申请人双方协商解决；协商不成的，由核准机关作出裁决。</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176" w:firstLineChars="100"/>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r>
              <w:rPr>
                <w:rFonts w:hint="eastAsia" w:ascii="仿宋_GB2312" w:hAnsi="仿宋_GB2312" w:eastAsia="仿宋_GB2312" w:cs="仿宋_GB2312"/>
                <w:i w:val="0"/>
                <w:color w:val="000000"/>
                <w:kern w:val="0"/>
                <w:sz w:val="18"/>
                <w:szCs w:val="18"/>
                <w:highlight w:val="none"/>
                <w:u w:val="none"/>
                <w:lang w:val="en-US" w:eastAsia="zh-CN" w:bidi="ar"/>
              </w:rPr>
              <w:t>两个以上医疗机构因已经核准登记的医疗机构名称相同发生争议时，核准机关依照登记在先原则处理。属于同一天登记的，应当由双方协商解决；协商不成的，由核准机关报上一级卫生计生行政部门作出裁决。</w:t>
            </w: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p>
        </w:tc>
        <w:tc>
          <w:tcPr>
            <w:tcW w:w="16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eastAsia" w:ascii="仿宋_GB2312" w:hAnsi="仿宋_GB2312" w:eastAsia="仿宋_GB2312" w:cs="仿宋_GB2312"/>
                <w:i w:val="0"/>
                <w:color w:val="000000"/>
                <w:kern w:val="0"/>
                <w:sz w:val="20"/>
                <w:szCs w:val="20"/>
                <w:highlight w:val="none"/>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6838" w:h="11906" w:orient="landscape"/>
      <w:pgMar w:top="1588" w:right="1928" w:bottom="1474" w:left="1814" w:header="851" w:footer="1531" w:gutter="0"/>
      <w:pgNumType w:fmt="decimal" w:start="1"/>
      <w:cols w:space="720" w:num="1"/>
      <w:docGrid w:type="linesAndChars" w:linePitch="595"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C6744"/>
    <w:rsid w:val="09377983"/>
    <w:rsid w:val="155F3186"/>
    <w:rsid w:val="29895BD5"/>
    <w:rsid w:val="2A3120B8"/>
    <w:rsid w:val="2EF43F50"/>
    <w:rsid w:val="3FDC7EDC"/>
    <w:rsid w:val="4101436F"/>
    <w:rsid w:val="4C3A21BB"/>
    <w:rsid w:val="642F4FCF"/>
    <w:rsid w:val="66B612EF"/>
    <w:rsid w:val="6C436FE3"/>
    <w:rsid w:val="6EB76031"/>
    <w:rsid w:val="75BF2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line="240" w:lineRule="atLeast"/>
    </w:pPr>
    <w:rPr>
      <w:rFonts w:eastAsia="小标宋"/>
      <w:sz w:val="44"/>
      <w:szCs w:val="32"/>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5523</Words>
  <Characters>5562</Characters>
  <Lines>0</Lines>
  <Paragraphs>0</Paragraphs>
  <TotalTime>16</TotalTime>
  <ScaleCrop>false</ScaleCrop>
  <LinksUpToDate>false</LinksUpToDate>
  <CharactersWithSpaces>5689</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2024-12-23T06:04:00Z</dcterms:created>
  <dc:creator>Administrator</dc:creator>
  <cp:lastModifiedBy>Administrator</cp:lastModifiedBy>
  <cp:lastPrinted>2025-04-25T02:47:47Z</cp:lastPrinted>
  <dcterms:modified xsi:type="dcterms:W3CDTF">2025-04-25T02:50:09Z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E624E8C03BD1496C90E3F12AB1DF3C67_12</vt:lpwstr>
  </property>
  <property fmtid="{D5CDD505-2E9C-101B-9397-08002B2CF9AE}" pid="4" name="KSOTemplateDocerSaveRecord">
    <vt:lpwstr>eyJoZGlkIjoiNDc4YzcwNzg4YjgzZTk5YjQzMTdkMTkyNTQ0Y2EzMzMiLCJ1c2VySWQiOiIyNDczMDc5MjUifQ==</vt:lpwstr>
  </property>
</Properties>
</file>