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wordWrap/>
        <w:adjustRightInd/>
        <w:snapToGrid/>
        <w:spacing w:line="520" w:lineRule="exact"/>
        <w:jc w:val="center"/>
        <w:textAlignment w:val="auto"/>
        <w:rPr>
          <w:rFonts w:hint="eastAsia" w:ascii="方正小标宋简体" w:hAnsi="方正小标宋简体" w:eastAsia="方正小标宋简体" w:cs="方正小标宋简体"/>
          <w:color w:val="auto"/>
          <w:sz w:val="44"/>
          <w:szCs w:val="44"/>
          <w:highlight w:val="none"/>
          <w:lang w:eastAsia="zh-CN"/>
        </w:rPr>
      </w:pPr>
      <w:r>
        <w:rPr>
          <w:rFonts w:hint="eastAsia" w:ascii="方正小标宋简体" w:hAnsi="方正小标宋简体" w:eastAsia="方正小标宋简体" w:cs="方正小标宋简体"/>
          <w:color w:val="auto"/>
          <w:sz w:val="36"/>
          <w:szCs w:val="36"/>
          <w:highlight w:val="none"/>
          <w:lang w:val="en-US" w:eastAsia="zh-CN"/>
        </w:rPr>
        <w:t>山海关区</w:t>
      </w:r>
      <w:r>
        <w:rPr>
          <w:rFonts w:hint="eastAsia" w:ascii="方正小标宋简体" w:hAnsi="方正小标宋简体" w:eastAsia="方正小标宋简体" w:cs="方正小标宋简体"/>
          <w:color w:val="auto"/>
          <w:sz w:val="36"/>
          <w:szCs w:val="36"/>
          <w:highlight w:val="none"/>
          <w:lang w:eastAsia="zh-CN"/>
        </w:rPr>
        <w:t>实行告知承诺制</w:t>
      </w:r>
      <w:r>
        <w:rPr>
          <w:rFonts w:hint="default" w:ascii="方正小标宋简体" w:hAnsi="方正小标宋简体" w:eastAsia="方正小标宋简体" w:cs="方正小标宋简体"/>
          <w:color w:val="auto"/>
          <w:sz w:val="36"/>
          <w:szCs w:val="36"/>
          <w:highlight w:val="none"/>
          <w:lang w:eastAsia="zh-CN"/>
        </w:rPr>
        <w:t>证明事项目录</w:t>
      </w:r>
      <w:r>
        <w:rPr>
          <w:rFonts w:hint="eastAsia" w:ascii="方正小标宋简体" w:hAnsi="方正小标宋简体" w:eastAsia="方正小标宋简体" w:cs="方正小标宋简体"/>
          <w:color w:val="auto"/>
          <w:sz w:val="36"/>
          <w:szCs w:val="36"/>
          <w:highlight w:val="none"/>
          <w:lang w:eastAsia="zh-CN"/>
        </w:rPr>
        <w:t>（</w:t>
      </w:r>
      <w:r>
        <w:rPr>
          <w:rFonts w:hint="default" w:ascii="Times New Roman" w:hAnsi="Times New Roman" w:eastAsia="方正小标宋简体" w:cs="Times New Roman"/>
          <w:color w:val="auto"/>
          <w:sz w:val="36"/>
          <w:szCs w:val="36"/>
          <w:highlight w:val="none"/>
          <w:lang w:val="en-US" w:eastAsia="zh-CN"/>
        </w:rPr>
        <w:t>202</w:t>
      </w:r>
      <w:r>
        <w:rPr>
          <w:rFonts w:hint="eastAsia" w:ascii="Times New Roman" w:hAnsi="Times New Roman" w:eastAsia="方正小标宋简体" w:cs="Times New Roman"/>
          <w:color w:val="auto"/>
          <w:sz w:val="36"/>
          <w:szCs w:val="36"/>
          <w:highlight w:val="none"/>
          <w:lang w:val="en-US" w:eastAsia="zh-CN"/>
        </w:rPr>
        <w:t>4</w:t>
      </w:r>
      <w:r>
        <w:rPr>
          <w:rFonts w:hint="eastAsia" w:ascii="方正小标宋简体" w:hAnsi="方正小标宋简体" w:eastAsia="方正小标宋简体" w:cs="方正小标宋简体"/>
          <w:color w:val="auto"/>
          <w:sz w:val="36"/>
          <w:szCs w:val="36"/>
          <w:highlight w:val="none"/>
          <w:lang w:val="en-US" w:eastAsia="zh-CN"/>
        </w:rPr>
        <w:t>年</w:t>
      </w:r>
      <w:r>
        <w:rPr>
          <w:rFonts w:hint="eastAsia" w:ascii="方正小标宋简体" w:hAnsi="方正小标宋简体" w:eastAsia="方正小标宋简体" w:cs="方正小标宋简体"/>
          <w:color w:val="auto"/>
          <w:sz w:val="36"/>
          <w:szCs w:val="36"/>
          <w:highlight w:val="none"/>
          <w:lang w:eastAsia="zh-CN"/>
        </w:rPr>
        <w:t>修订版）</w:t>
      </w:r>
    </w:p>
    <w:tbl>
      <w:tblPr>
        <w:tblStyle w:val="6"/>
        <w:tblW w:w="137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972"/>
        <w:gridCol w:w="996"/>
        <w:gridCol w:w="2219"/>
        <w:gridCol w:w="2218"/>
        <w:gridCol w:w="2070"/>
        <w:gridCol w:w="2075"/>
        <w:gridCol w:w="900"/>
        <w:gridCol w:w="837"/>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01" w:type="dxa"/>
            <w:vMerge w:val="restart"/>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序号</w:t>
            </w:r>
          </w:p>
        </w:tc>
        <w:tc>
          <w:tcPr>
            <w:tcW w:w="972" w:type="dxa"/>
            <w:vMerge w:val="restart"/>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事项</w:t>
            </w:r>
          </w:p>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名称</w:t>
            </w:r>
          </w:p>
        </w:tc>
        <w:tc>
          <w:tcPr>
            <w:tcW w:w="996" w:type="dxa"/>
            <w:vMerge w:val="restart"/>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事项</w:t>
            </w:r>
          </w:p>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用途</w:t>
            </w:r>
          </w:p>
        </w:tc>
        <w:tc>
          <w:tcPr>
            <w:tcW w:w="8582" w:type="dxa"/>
            <w:gridSpan w:val="4"/>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设定依据</w:t>
            </w:r>
          </w:p>
        </w:tc>
        <w:tc>
          <w:tcPr>
            <w:tcW w:w="900" w:type="dxa"/>
            <w:vMerge w:val="restart"/>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索证</w:t>
            </w:r>
          </w:p>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部门</w:t>
            </w:r>
          </w:p>
        </w:tc>
        <w:tc>
          <w:tcPr>
            <w:tcW w:w="837" w:type="dxa"/>
            <w:vMerge w:val="restart"/>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出具</w:t>
            </w:r>
          </w:p>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部门</w:t>
            </w:r>
          </w:p>
        </w:tc>
        <w:tc>
          <w:tcPr>
            <w:tcW w:w="830" w:type="dxa"/>
            <w:vMerge w:val="restart"/>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01" w:type="dxa"/>
            <w:vMerge w:val="continue"/>
            <w:noWrap w:val="0"/>
            <w:vAlign w:val="center"/>
          </w:tcPr>
          <w:p>
            <w:pPr>
              <w:pStyle w:val="2"/>
              <w:wordWrap/>
              <w:adjustRightInd/>
              <w:snapToGrid/>
              <w:spacing w:line="200" w:lineRule="exact"/>
              <w:jc w:val="center"/>
              <w:rPr>
                <w:rFonts w:hint="eastAsia" w:ascii="黑体" w:hAnsi="黑体" w:eastAsia="黑体" w:cs="黑体"/>
                <w:b w:val="0"/>
                <w:bCs w:val="0"/>
                <w:color w:val="auto"/>
                <w:kern w:val="0"/>
                <w:sz w:val="15"/>
                <w:szCs w:val="15"/>
                <w:highlight w:val="none"/>
                <w:lang w:eastAsia="zh-CN"/>
              </w:rPr>
            </w:pPr>
          </w:p>
        </w:tc>
        <w:tc>
          <w:tcPr>
            <w:tcW w:w="972"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996"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2219" w:type="dxa"/>
            <w:noWrap w:val="0"/>
            <w:vAlign w:val="center"/>
          </w:tcPr>
          <w:p>
            <w:pPr>
              <w:bidi w:val="0"/>
              <w:jc w:val="center"/>
              <w:rPr>
                <w:rFonts w:hint="eastAsia" w:ascii="黑体" w:hAnsi="黑体" w:eastAsia="黑体" w:cs="黑体"/>
                <w:color w:val="auto"/>
                <w:sz w:val="21"/>
                <w:szCs w:val="21"/>
                <w:lang w:val="en-US" w:eastAsia="zh-CN"/>
              </w:rPr>
            </w:pPr>
            <w:r>
              <w:rPr>
                <w:rFonts w:hint="eastAsia" w:ascii="黑体" w:hAnsi="黑体" w:eastAsia="黑体" w:cs="黑体"/>
                <w:color w:val="auto"/>
                <w:sz w:val="21"/>
                <w:szCs w:val="21"/>
                <w:lang w:eastAsia="zh-CN"/>
              </w:rPr>
              <w:t>法律</w:t>
            </w:r>
          </w:p>
        </w:tc>
        <w:tc>
          <w:tcPr>
            <w:tcW w:w="2218" w:type="dxa"/>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法规</w:t>
            </w:r>
          </w:p>
        </w:tc>
        <w:tc>
          <w:tcPr>
            <w:tcW w:w="2070" w:type="dxa"/>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国务院决定</w:t>
            </w:r>
          </w:p>
        </w:tc>
        <w:tc>
          <w:tcPr>
            <w:tcW w:w="2075" w:type="dxa"/>
            <w:noWrap w:val="0"/>
            <w:vAlign w:val="center"/>
          </w:tcPr>
          <w:p>
            <w:pPr>
              <w:bidi w:val="0"/>
              <w:jc w:val="center"/>
              <w:rPr>
                <w:rFonts w:hint="eastAsia" w:ascii="黑体" w:hAnsi="黑体" w:eastAsia="黑体" w:cs="黑体"/>
                <w:color w:val="auto"/>
                <w:sz w:val="21"/>
                <w:szCs w:val="21"/>
                <w:lang w:eastAsia="zh-CN"/>
              </w:rPr>
            </w:pPr>
            <w:r>
              <w:rPr>
                <w:rFonts w:hint="eastAsia" w:ascii="黑体" w:hAnsi="黑体" w:eastAsia="黑体" w:cs="黑体"/>
                <w:color w:val="auto"/>
                <w:sz w:val="21"/>
                <w:szCs w:val="21"/>
                <w:lang w:eastAsia="zh-CN"/>
              </w:rPr>
              <w:t>规章等程序性规定</w:t>
            </w:r>
          </w:p>
        </w:tc>
        <w:tc>
          <w:tcPr>
            <w:tcW w:w="900"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837"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830"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亲属关系证明（结婚证、户口簿、出生证明等不能证明的）</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办理户口登记、迁移等</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《中华人民共和国户口登记条例》（1958年1月9日全国人民代表大会常务委员会第九十一次会议通过）第十七条、第十九条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公安部等12部门联合印发的《关于改进和规范公安派出所出具证明工作的意见》（公通字〔2016〕21号）第二条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户口登记、户口迁入地公安派出所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原户口所在地公安派出所</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无暴力犯罪记录，无吸毒记录证明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出租汽车驾驶员从业资格考试</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《中华人民共和国道路运输条例》(国务院令第406号,2023年7月20日修订)第八十一条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rPr>
              <w:t>《出租汽车驾驶员从业资格管理规定》（交通运输部令2021年第15号</w:t>
            </w:r>
            <w:r>
              <w:rPr>
                <w:rFonts w:hint="eastAsia" w:ascii="宋体" w:hAnsi="宋体" w:eastAsia="宋体" w:cs="宋体"/>
                <w:i w:val="0"/>
                <w:color w:val="auto"/>
                <w:kern w:val="0"/>
                <w:sz w:val="15"/>
                <w:szCs w:val="15"/>
                <w:highlight w:val="none"/>
                <w:u w:val="none"/>
                <w:lang w:val="en-US" w:eastAsia="zh-CN"/>
              </w:rPr>
              <w:t>）</w:t>
            </w:r>
            <w:r>
              <w:rPr>
                <w:rFonts w:hint="eastAsia" w:ascii="宋体" w:hAnsi="宋体" w:eastAsia="宋体" w:cs="宋体"/>
                <w:color w:val="auto"/>
                <w:kern w:val="0"/>
                <w:sz w:val="15"/>
                <w:szCs w:val="15"/>
              </w:rPr>
              <w:t>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1"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3</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无交通肇事犯罪、危险驾驶犯罪记录，无饮酒后驾驶记录，最近连续3个记分周期内没有记满12分记录的证明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出租汽车驾驶员从业资格考试</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《中华人民共和国道路运输条例》(国务院令第406号,2023年7月20日修订)第八十一条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rPr>
              <w:t>《出租汽车驾驶员从业资格管理规定》（交通运输部令2021年第15号）第十一条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公安交管部门</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4</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巡游出租汽车经营的投资人、负责人资信证明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巡游出租车经营许可审批</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《巡游出租汽车经营服务管理规定》（交通运输部令2021年第16号）第九条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5</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网络预约出租汽车经营的投资人、负责人资信证明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网络预约出租汽车经营许可审批</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《网络预约出租汽车经营服务管理暂行办法》（交通运输部 工业和信息化部 公安部 商务部 市场监管总局 国家网信办令2022年第42号）第六条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6</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经营性道路旅客运输驾驶员、道路危险货物运输驾驶员3年内无重大以上交通责任事故证明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从事客运经营、道路危险货物运输经营的驾驶员应符合的条件</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《中华人民共和国道路运输条例》（国务院令第406号，2023年7月20日修订）第八条、第九条</w:t>
            </w:r>
          </w:p>
        </w:tc>
        <w:tc>
          <w:tcPr>
            <w:tcW w:w="2070"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u w:val="none"/>
              </w:rPr>
              <w:t>《道路运输从业人员管理规定》（交通运输部2022年38号令）第九条、第十一条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市、县级交通运输主管部门、行政审批部门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公安交管部门</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7</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学校资产证明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申请筹设、正式设立实施以职业技能为主的职业资格培训、职业技能培训的民办学校</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《中华人民共和国民办教育促进法》（2018年12月29日第三次修正）第十二条、第十三条、第十五条</w:t>
            </w: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ordWrap/>
              <w:adjustRightInd/>
              <w:snapToGrid/>
              <w:spacing w:line="200" w:lineRule="exact"/>
              <w:jc w:val="both"/>
              <w:rPr>
                <w:rFonts w:hint="eastAsia" w:ascii="宋体" w:hAnsi="宋体" w:eastAsia="宋体" w:cs="宋体"/>
                <w:color w:val="auto"/>
                <w:kern w:val="0"/>
                <w:sz w:val="15"/>
                <w:szCs w:val="15"/>
                <w:u w:val="none"/>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市、县人力资源社会保障部门，市、县行政审批部门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银行、会计师事务所、其他具有验资资格的机构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bidi="ar-SA"/>
              </w:rPr>
            </w:pPr>
            <w:r>
              <w:rPr>
                <w:rFonts w:hint="eastAsia" w:ascii="宋体" w:hAnsi="宋体" w:eastAsia="宋体" w:cs="宋体"/>
                <w:b w:val="0"/>
                <w:bCs w:val="0"/>
                <w:i w:val="0"/>
                <w:color w:val="auto"/>
                <w:kern w:val="0"/>
                <w:sz w:val="15"/>
                <w:szCs w:val="15"/>
                <w:highlight w:val="none"/>
                <w:u w:val="none"/>
                <w:lang w:val="en-US" w:eastAsia="zh-CN" w:bidi="ar-SA"/>
              </w:rPr>
              <w:t>8</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供养直系亲属与死者关系证明</w:t>
            </w:r>
            <w:r>
              <w:rPr>
                <w:rFonts w:hint="eastAsia" w:ascii="宋体" w:hAnsi="宋体" w:eastAsia="宋体" w:cs="宋体"/>
                <w:b w:val="0"/>
                <w:bCs w:val="0"/>
                <w:i w:val="0"/>
                <w:strike w:val="0"/>
                <w:dstrike w:val="0"/>
                <w:color w:val="auto"/>
                <w:kern w:val="0"/>
                <w:sz w:val="15"/>
                <w:szCs w:val="15"/>
                <w:highlight w:val="none"/>
                <w:u w:val="none"/>
                <w:lang w:val="en-US" w:eastAsia="zh-CN"/>
              </w:rPr>
              <w:t>（通过告知承诺制、部门间数据共享核查）</w:t>
            </w:r>
            <w:r>
              <w:rPr>
                <w:rFonts w:hint="eastAsia" w:ascii="宋体" w:hAnsi="宋体" w:eastAsia="宋体" w:cs="宋体"/>
                <w:b w:val="0"/>
                <w:bCs w:val="0"/>
                <w:i w:val="0"/>
                <w:color w:val="auto"/>
                <w:kern w:val="0"/>
                <w:sz w:val="15"/>
                <w:szCs w:val="15"/>
                <w:highlight w:val="none"/>
                <w:u w:val="none"/>
                <w:lang w:val="en-US" w:eastAsia="zh-CN"/>
              </w:rPr>
              <w:t xml:space="preserve"> </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办理养老保险丧葬补助金、抚恤金核定；个人账户一次性支付核定（养老保险服务）</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《中华人民共和国社会保险法》（2018年12月29日修正）第十七条、第十四条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bidi="ar-SA"/>
              </w:rPr>
            </w:pPr>
          </w:p>
        </w:tc>
        <w:tc>
          <w:tcPr>
            <w:tcW w:w="2070" w:type="dxa"/>
            <w:noWrap w:val="0"/>
            <w:vAlign w:val="center"/>
          </w:tcPr>
          <w:p>
            <w:pPr>
              <w:wordWrap/>
              <w:adjustRightInd/>
              <w:snapToGrid/>
              <w:spacing w:line="200" w:lineRule="exact"/>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《关于印发机关事业单位工作人员基本养老保险经办规程的通知》（人社部发〔2015〕32号）第四十条、第四十一条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《关于印发基本养老保险经办业务规程（试行）的通知》（劳社险中心函〔2003〕38号）第六十六条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公安派出所</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bidi="ar-SA"/>
              </w:rPr>
            </w:pPr>
            <w:r>
              <w:rPr>
                <w:rFonts w:hint="eastAsia" w:ascii="宋体" w:hAnsi="宋体" w:eastAsia="宋体" w:cs="宋体"/>
                <w:b w:val="0"/>
                <w:bCs w:val="0"/>
                <w:i w:val="0"/>
                <w:color w:val="auto"/>
                <w:kern w:val="0"/>
                <w:sz w:val="15"/>
                <w:szCs w:val="15"/>
                <w:highlight w:val="none"/>
                <w:u w:val="none"/>
                <w:lang w:val="en-US" w:eastAsia="zh-CN" w:bidi="ar-SA"/>
              </w:rPr>
              <w:t>9</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死亡证明（通过告知承诺制、部门间数据共享核查）</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办理养老保险丧葬补助金、抚恤金核定；个人账户一次性支付核定（养老保险服务）</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《中华人民共和国社会保险法》（2018年12月29日修正）第十七条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《中华人民共和国劳动保险条例》（1953年1月2日修正）第十四条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《国务院关于建立统一的城乡居民基本养老保险制度的意见》（国发〔2014〕8号）第七条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《关于印发机关事业单位工作人员基本养老保险经办规程的通知》（人社部发〔2015〕32号）第四十条、第四十一条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《关于印发基本养老保险经办业务规程（试行）的通知》（劳社险中心函〔2003〕38号）第六十四条、第六十六条、第七十三条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人民法院、公安部门、医疗机构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bidi="ar-SA"/>
              </w:rPr>
            </w:pPr>
            <w:r>
              <w:rPr>
                <w:rFonts w:hint="eastAsia" w:ascii="宋体" w:hAnsi="宋体" w:eastAsia="宋体" w:cs="宋体"/>
                <w:b w:val="0"/>
                <w:bCs w:val="0"/>
                <w:i w:val="0"/>
                <w:color w:val="auto"/>
                <w:kern w:val="0"/>
                <w:sz w:val="15"/>
                <w:szCs w:val="15"/>
                <w:highlight w:val="none"/>
                <w:u w:val="none"/>
                <w:lang w:val="en-US" w:eastAsia="zh-CN"/>
              </w:rPr>
              <w:t>10</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能够确定指定受益人、法定继承人继承权的公证书</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城乡居民基本养老保险注销登记</w:t>
            </w:r>
          </w:p>
        </w:tc>
        <w:tc>
          <w:tcPr>
            <w:tcW w:w="2219"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yellow"/>
                <w:u w:val="none"/>
                <w:lang w:val="en-US" w:eastAsia="zh-CN" w:bidi="ar-SA"/>
              </w:rPr>
            </w:pP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yellow"/>
                <w:u w:val="none"/>
                <w:lang w:val="en-US" w:eastAsia="zh-CN" w:bidi="ar-SA"/>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《国务院关于建立统一的城乡居民基本养老保险制度的意见》（国发〔2014〕8号）第七条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《城乡居民基本养老保险经办规程》（人社部发〔2019〕84号）第三十七条、第三十八条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公证机构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bidi="ar-SA"/>
              </w:rPr>
            </w:pPr>
            <w:r>
              <w:rPr>
                <w:rFonts w:hint="eastAsia" w:ascii="宋体" w:hAnsi="宋体" w:eastAsia="宋体" w:cs="宋体"/>
                <w:b w:val="0"/>
                <w:bCs w:val="0"/>
                <w:i w:val="0"/>
                <w:color w:val="auto"/>
                <w:kern w:val="0"/>
                <w:sz w:val="15"/>
                <w:szCs w:val="15"/>
                <w:highlight w:val="none"/>
                <w:u w:val="none"/>
                <w:lang w:val="en-US" w:eastAsia="zh-CN"/>
              </w:rPr>
              <w:t>11</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依靠工亡职工生前提供主要生活来源的证明（告知承诺制办理）</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供养亲属抚恤金申领（工伤保险服务）</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《中华人民共和国社会保险法》（2018年12月29日修正）第三十八条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《工伤保险条例》（国务院令第375号,2010年12月20日修订）第三十九条、第四十一条</w:t>
            </w:r>
          </w:p>
        </w:tc>
        <w:tc>
          <w:tcPr>
            <w:tcW w:w="2070" w:type="dxa"/>
            <w:noWrap w:val="0"/>
            <w:vAlign w:val="center"/>
          </w:tcPr>
          <w:p>
            <w:pPr>
              <w:wordWrap/>
              <w:adjustRightInd/>
              <w:snapToGrid/>
              <w:spacing w:line="200" w:lineRule="exact"/>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《关于印发工伤保险经办规程的通知》（人社部发〔2012〕11号）第七十条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户籍所在地公安派出所、街道办事处、乡镇政府</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12</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死亡证明（无法通过数据比对核查的通过告知承诺制）</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失业保险丧葬补助金和抚恤金申领</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《中华人民共和国社会保险法》（2018年12月29日修正）第四十九条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《失业保险条例》（国务院令第258号）第十条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《失业保险金申领发放办法》（劳动和社会保障部令第8号，2019年12月9日第二次修订）第十六条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人力资源和社会保障部门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人民法院、公安部门、医疗机构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13</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死亡证明（无法通过数据比对核查的通过告知承诺制）</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申领一次性工亡补助金（含生活困难，预支50%确认）、丧葬补助金申领</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《中华人民共和国社会保险法》（2018年12月29日修正）第三十八条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《工伤保险条例》</w:t>
            </w:r>
            <w:r>
              <w:rPr>
                <w:rFonts w:hint="eastAsia" w:ascii="宋体" w:hAnsi="宋体" w:eastAsia="宋体" w:cs="宋体"/>
                <w:i w:val="0"/>
                <w:color w:val="auto"/>
                <w:kern w:val="0"/>
                <w:sz w:val="15"/>
                <w:szCs w:val="15"/>
                <w:highlight w:val="none"/>
                <w:u w:val="none"/>
                <w:lang w:val="en-US" w:eastAsia="zh-CN"/>
              </w:rPr>
              <w:t>（国务院令第375号,2010年12月20日修订）</w:t>
            </w:r>
            <w:r>
              <w:rPr>
                <w:rFonts w:hint="eastAsia" w:ascii="宋体" w:hAnsi="宋体" w:eastAsia="宋体" w:cs="宋体"/>
                <w:b w:val="0"/>
                <w:bCs w:val="0"/>
                <w:i w:val="0"/>
                <w:color w:val="auto"/>
                <w:kern w:val="0"/>
                <w:sz w:val="15"/>
                <w:szCs w:val="15"/>
                <w:highlight w:val="none"/>
                <w:u w:val="none"/>
                <w:lang w:val="en-US" w:eastAsia="zh-CN"/>
              </w:rPr>
              <w:t>第三十九条、第四十一条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《关于印发工伤保险经办规程的通知》（人社部发〔2012〕11号）第六十九条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人力资源和社会保障部门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人民法院、公安部门、医疗机构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14</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终止或者解除劳动关系的证明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失业登记</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《中华人民共和国社会保险法》（2018年12月29日修正）第五十条</w:t>
            </w:r>
          </w:p>
        </w:tc>
        <w:tc>
          <w:tcPr>
            <w:tcW w:w="2218" w:type="dxa"/>
            <w:noWrap w:val="0"/>
            <w:vAlign w:val="center"/>
          </w:tcPr>
          <w:p>
            <w:pPr>
              <w:wordWrap/>
              <w:adjustRightInd/>
              <w:snapToGrid/>
              <w:spacing w:line="200" w:lineRule="exact"/>
              <w:jc w:val="both"/>
              <w:rPr>
                <w:rFonts w:hint="eastAsia" w:ascii="宋体" w:hAnsi="宋体" w:eastAsia="宋体" w:cs="宋体"/>
                <w:b w:val="0"/>
                <w:bCs w:val="0"/>
                <w:i w:val="0"/>
                <w:color w:val="auto"/>
                <w:kern w:val="0"/>
                <w:sz w:val="15"/>
                <w:szCs w:val="15"/>
                <w:highlight w:val="none"/>
                <w:u w:val="none"/>
                <w:lang w:val="en-US" w:eastAsia="zh-CN"/>
              </w:rPr>
            </w:pPr>
          </w:p>
        </w:tc>
        <w:tc>
          <w:tcPr>
            <w:tcW w:w="2070" w:type="dxa"/>
            <w:noWrap w:val="0"/>
            <w:vAlign w:val="center"/>
          </w:tcPr>
          <w:p>
            <w:pPr>
              <w:wordWrap/>
              <w:adjustRightInd/>
              <w:snapToGrid/>
              <w:spacing w:line="200" w:lineRule="exact"/>
              <w:jc w:val="both"/>
              <w:rPr>
                <w:rFonts w:hint="eastAsia" w:ascii="宋体" w:hAnsi="宋体" w:eastAsia="宋体" w:cs="宋体"/>
                <w:b w:val="0"/>
                <w:bCs w:val="0"/>
                <w:i w:val="0"/>
                <w:color w:val="auto"/>
                <w:kern w:val="0"/>
                <w:sz w:val="15"/>
                <w:szCs w:val="15"/>
                <w:highlight w:val="none"/>
                <w:u w:val="none"/>
                <w:lang w:val="en-US" w:eastAsia="zh-CN" w:bidi="ar-SA"/>
              </w:rPr>
            </w:pPr>
          </w:p>
        </w:tc>
        <w:tc>
          <w:tcPr>
            <w:tcW w:w="2075" w:type="dxa"/>
            <w:noWrap w:val="0"/>
            <w:vAlign w:val="center"/>
          </w:tcPr>
          <w:p>
            <w:pPr>
              <w:wordWrap/>
              <w:adjustRightInd/>
              <w:snapToGrid/>
              <w:spacing w:line="200" w:lineRule="exact"/>
              <w:jc w:val="both"/>
              <w:rPr>
                <w:rFonts w:hint="eastAsia" w:ascii="宋体" w:hAnsi="宋体" w:eastAsia="宋体" w:cs="宋体"/>
                <w:b w:val="0"/>
                <w:bCs w:val="0"/>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原用人单位</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15</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无犯罪记录证明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娱乐场所设立、变更开办者审批</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《娱乐场所管理条例》（国务院令第458号，2020年11月29日第二次修订）第五条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县级行政审批部门、文化和旅游部门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16</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体检证明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特种作业操作证核发</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《中华人民共和国安全生产法》（2021年6月10日第三次修正）第三十条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《特种作业人员安全技术培训考核管理规定》（国家安全生产监督管理总局令第30号 ，2015年5月29日修改）第四条、第十六条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strike w:val="0"/>
                <w:color w:val="auto"/>
                <w:kern w:val="0"/>
                <w:sz w:val="15"/>
                <w:szCs w:val="15"/>
                <w:highlight w:val="none"/>
                <w:u w:val="none"/>
                <w:lang w:val="en-US" w:eastAsia="zh-CN"/>
              </w:rPr>
              <w:t>依据2018年12月4日《中华人民共和国应急管理部公告(2018年第12号）》中“部门规章设定的证明事项取消目录”第22项“申请人申请办理特种作业操作证时不再提交体检证明”、第24项“申请人申请特种作业操作证复审时不再提交健康证明”，两项均改为“个人健康书面承诺”</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市、县应急管理部门或行政审批部门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社区或县级以上医疗机构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17</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健康证明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特种作业操作证复审</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《中华人民共和国安全生产法》（2021年6月10日第三次修正）第三十条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《特种作业人员安全技术培训考核管理规定》（国家安全生产监督管理总局令第30号，2015年5月29日修改）第四条、第二十二条</w:t>
            </w:r>
          </w:p>
          <w:p>
            <w:pPr>
              <w:widowControl/>
              <w:wordWrap/>
              <w:adjustRightInd/>
              <w:snapToGrid/>
              <w:spacing w:line="200" w:lineRule="exact"/>
              <w:jc w:val="both"/>
              <w:textAlignment w:val="center"/>
              <w:rPr>
                <w:rFonts w:hint="eastAsia"/>
                <w:color w:val="auto"/>
                <w:lang w:val="en-US" w:eastAsia="zh-CN"/>
              </w:rPr>
            </w:pPr>
            <w:r>
              <w:rPr>
                <w:rFonts w:hint="eastAsia" w:ascii="宋体" w:hAnsi="宋体" w:eastAsia="宋体" w:cs="宋体"/>
                <w:i w:val="0"/>
                <w:strike w:val="0"/>
                <w:color w:val="auto"/>
                <w:kern w:val="0"/>
                <w:sz w:val="15"/>
                <w:szCs w:val="15"/>
                <w:highlight w:val="none"/>
                <w:u w:val="none"/>
                <w:lang w:val="en-US" w:eastAsia="zh-CN"/>
              </w:rPr>
              <w:t>依据2018年12月4日《中华人民共和国应急管理部公告(2018年第12号）》中“部门规章设定的证明事项取消目录”第22项“申请人申请办理特种作业操作证时不再提交体检证明”、第24项“申请人申请特种作业操作证复审时不再提交健康证明”，两项均改为“个人健康书面承诺”</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市、县应急管理部门或行政审批部门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社区或县级以上医疗机构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18</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三年以上从事基层法律服务工作或基层司法行政工作经历的证明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基层法律服务所变更负责人</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《国务院对确需保留的行政审批项目设定行政许可的决定》（国务院令第412号，2016年8月25日第二次修订）第75项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《基层法律服务所管理办法》（司法部令第59号，2017年12月25日修订）第十六条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市、县司法行政部门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19</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基层法律服务所对申请人实习表现的鉴定意见或者具有二年以上其他法律职业经历的证明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基层法律服务工作者执业许可</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《国务院对确需保留的行政审批项目设定行政许可的决定》（国务院令第412号，2016年8月25日第二次修订）第75项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《基层法律服务工作者管理办法》(司法部令第60号，2017年12月25日修订)第十条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市、县司法行政部门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基层法律服务所、工作经历单位</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20</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新增加合伙人的三年以上职业经历证明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基层法律服务所变更合伙人</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《国务院对确需保留的行政审批项目设定行政许可的决定》（国务院令第412号，2016年8月25日第二次修订）第75项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《基层法律服务所管理办法》（司法部令第59号，2017年12月25日修订）第七条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市、县司法行政部门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21</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申请教师资格认定的思想品德鉴定表</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申请教师资格认定</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《教师资格条例》（国务院令第188号）第十五条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color w:val="auto"/>
                <w:sz w:val="15"/>
                <w:szCs w:val="15"/>
                <w:lang w:val="en-US" w:eastAsia="zh-CN"/>
              </w:rPr>
              <w:t>申请人工作单位或所在地街道办事处、乡镇人民政府、公安派出所</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22</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当地兽药管理部门出具的企业没有违规经销假劣兽药行为的证明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兽药GSP检查验收</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《兽药管理条例》（国务院令第404号，2016年2月6日第二次修正)第五十六条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《河北省兽药GSP检查验收办法》（冀牧医（药）〔2010〕27号）第十一条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县级兽药管理部门</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23</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变更注册地址的证明（地名发生变化的）</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危险化学品经营许可</w:t>
            </w:r>
          </w:p>
        </w:tc>
        <w:tc>
          <w:tcPr>
            <w:tcW w:w="2219"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《危险化学品安全管理条例》（国务院令第344号，2013年12月7日修订）第三十五条</w:t>
            </w: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《危险化学品经营许可证管理办法》（国家安全生产监督管理总局令第55号，2015年5月27日修订）第十四条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市、县级应急管理部门或行政审批部门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市、县级地名管理部门</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1"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24</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无违法犯罪证明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网安部门对安全管理机构和安全管理负责人及关键信息基础设施管理人员进行安全背景审查</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《中华人民共和国网络安全法》第三十四条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FF0000"/>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关键信息基础设施的运营部门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25</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经济困难状况说明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申请法律援助</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《法律援助条例》（国务院令第385号）第十七条</w:t>
            </w:r>
            <w:r>
              <w:rPr>
                <w:rFonts w:hint="eastAsia" w:ascii="宋体" w:hAnsi="宋体" w:eastAsia="宋体" w:cs="宋体"/>
                <w:b w:val="0"/>
                <w:bCs w:val="0"/>
                <w:i w:val="0"/>
                <w:color w:val="auto"/>
                <w:kern w:val="0"/>
                <w:sz w:val="15"/>
                <w:szCs w:val="15"/>
                <w:highlight w:val="none"/>
                <w:u w:val="none"/>
                <w:lang w:val="en-US" w:eastAsia="zh-CN"/>
              </w:rPr>
              <w:br w:type="textWrapping"/>
            </w:r>
            <w:r>
              <w:rPr>
                <w:rFonts w:hint="eastAsia" w:ascii="宋体" w:hAnsi="宋体" w:eastAsia="宋体" w:cs="宋体"/>
                <w:b w:val="0"/>
                <w:bCs w:val="0"/>
                <w:i w:val="0"/>
                <w:color w:val="auto"/>
                <w:kern w:val="0"/>
                <w:sz w:val="15"/>
                <w:szCs w:val="15"/>
                <w:highlight w:val="none"/>
                <w:u w:val="none"/>
                <w:lang w:val="en-US" w:eastAsia="zh-CN"/>
              </w:rPr>
              <w:t>《河北省法律援助条例》第十四条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市、县法律援助机构</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乡镇人民政府、街道办事处</w:t>
            </w:r>
          </w:p>
        </w:tc>
        <w:tc>
          <w:tcPr>
            <w:tcW w:w="830" w:type="dxa"/>
            <w:noWrap w:val="0"/>
            <w:vAlign w:val="center"/>
          </w:tcPr>
          <w:p>
            <w:pPr>
              <w:widowControl/>
              <w:wordWrap/>
              <w:adjustRightInd/>
              <w:snapToGrid/>
              <w:spacing w:line="200" w:lineRule="exact"/>
              <w:jc w:val="both"/>
              <w:textAlignment w:val="center"/>
              <w:rPr>
                <w:rFonts w:hint="eastAsia" w:ascii="仿宋" w:hAnsi="仿宋" w:eastAsia="仿宋" w:cs="仿宋"/>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26</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主要业务人员的从业资格证明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文化类民办非企业单位设立前置审查</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 xml:space="preserve">《民办非企业单位登记管理暂行条例》（国务院令第251号）第八条 </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《文化部、民政部关于文化类民办非企业单位登记审查管理暂行办法》（文人发〔2000〕第60号）第十条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市、县文化和旅游行政主管部门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相关行业主管部门或社会组织</w:t>
            </w:r>
          </w:p>
        </w:tc>
        <w:tc>
          <w:tcPr>
            <w:tcW w:w="830" w:type="dxa"/>
            <w:noWrap w:val="0"/>
            <w:vAlign w:val="center"/>
          </w:tcPr>
          <w:p>
            <w:pPr>
              <w:widowControl/>
              <w:wordWrap/>
              <w:adjustRightInd/>
              <w:snapToGrid/>
              <w:spacing w:line="200" w:lineRule="exact"/>
              <w:jc w:val="both"/>
              <w:textAlignment w:val="center"/>
              <w:rPr>
                <w:rFonts w:hint="eastAsia" w:ascii="仿宋" w:hAnsi="仿宋" w:eastAsia="仿宋" w:cs="仿宋"/>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27</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法定代表人或主要负责人无不符合申请设置医疗机构的情况证明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医疗机构执业登记（人体器官移植除 外）</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《医疗机构管理条例》（国务院令第149号，2022年3月29日修订）第十六条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《医疗机构管理条例实施细则》</w:t>
            </w:r>
            <w:r>
              <w:rPr>
                <w:rFonts w:hint="eastAsia" w:ascii="宋体" w:hAnsi="宋体" w:eastAsia="宋体" w:cs="宋体"/>
                <w:b w:val="0"/>
                <w:bCs w:val="0"/>
                <w:i w:val="0"/>
                <w:iCs w:val="0"/>
                <w:color w:val="auto"/>
                <w:kern w:val="0"/>
                <w:sz w:val="15"/>
                <w:szCs w:val="15"/>
                <w:u w:val="none"/>
                <w:lang w:val="en-US" w:eastAsia="zh-CN" w:bidi="ar"/>
              </w:rPr>
              <w:t>（卫生部令第35号，2017年2月21日第二次修正）</w:t>
            </w:r>
            <w:r>
              <w:rPr>
                <w:rFonts w:hint="eastAsia" w:ascii="宋体" w:hAnsi="宋体" w:eastAsia="宋体" w:cs="宋体"/>
                <w:b w:val="0"/>
                <w:bCs w:val="0"/>
                <w:i w:val="0"/>
                <w:color w:val="auto"/>
                <w:kern w:val="0"/>
                <w:sz w:val="15"/>
                <w:szCs w:val="15"/>
                <w:highlight w:val="none"/>
                <w:u w:val="none"/>
                <w:lang w:val="en-US" w:eastAsia="zh-CN"/>
              </w:rPr>
              <w:t>第十二条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市、县行政审批局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卫生健康、公安派出所等部门</w:t>
            </w:r>
          </w:p>
        </w:tc>
        <w:tc>
          <w:tcPr>
            <w:tcW w:w="830" w:type="dxa"/>
            <w:noWrap w:val="0"/>
            <w:vAlign w:val="center"/>
          </w:tcPr>
          <w:p>
            <w:pPr>
              <w:widowControl/>
              <w:wordWrap/>
              <w:adjustRightInd/>
              <w:snapToGrid/>
              <w:spacing w:line="200" w:lineRule="exact"/>
              <w:jc w:val="both"/>
              <w:textAlignment w:val="center"/>
              <w:rPr>
                <w:rFonts w:hint="eastAsia" w:ascii="仿宋" w:hAnsi="仿宋" w:eastAsia="仿宋" w:cs="仿宋"/>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28</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寄养家庭成员健康状况证明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办理儿童寄养业务</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《中华人民共和国未成年人保护法》（2020年10月17日第二次修订）第四条、第九十三条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《家庭寄养管理办法》(民政部令第54号）第十二条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县级以上医疗机构</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b/>
                <w:bCs/>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29</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姓名或名称更改证明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申请股权出质变更登记</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《中华人民共和国民法典》第四百四十条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《工商行政管理机关股权出质登记办法》（国家工商行政管理局总令第32号）第九条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市、县级市场监管部门、行政审批部门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户口所在地公安派出所、市场监管部门</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30</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变更股东或发起人名称或姓名的，提交股东或发起人名称或姓名变更证明（身份证、户口簿不能证明的）</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企业设立变更登记</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color w:val="auto"/>
                <w:sz w:val="15"/>
                <w:szCs w:val="15"/>
                <w:lang w:val="en-US" w:eastAsia="zh-CN"/>
              </w:rPr>
              <w:t>《中华人民共和国市场主体登记管理条例》（国令第746号）第八条、第二十四条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strike w:val="0"/>
                <w:dstrike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《中华人民共和国市场</w:t>
            </w:r>
            <w:bookmarkStart w:id="0" w:name="_GoBack"/>
            <w:bookmarkEnd w:id="0"/>
            <w:r>
              <w:rPr>
                <w:rFonts w:hint="eastAsia" w:ascii="宋体" w:hAnsi="宋体" w:eastAsia="宋体" w:cs="宋体"/>
                <w:i w:val="0"/>
                <w:color w:val="auto"/>
                <w:kern w:val="0"/>
                <w:sz w:val="15"/>
                <w:szCs w:val="15"/>
                <w:highlight w:val="none"/>
                <w:u w:val="none"/>
                <w:lang w:val="en-US" w:eastAsia="zh-CN"/>
              </w:rPr>
              <w:t>主体登</w:t>
            </w:r>
            <w:r>
              <w:rPr>
                <w:rFonts w:hint="eastAsia" w:ascii="宋体" w:hAnsi="宋体" w:cs="宋体"/>
                <w:i w:val="0"/>
                <w:color w:val="auto"/>
                <w:kern w:val="0"/>
                <w:sz w:val="15"/>
                <w:szCs w:val="15"/>
                <w:highlight w:val="none"/>
                <w:u w:val="none"/>
                <w:lang w:val="en-US" w:eastAsia="zh-CN"/>
              </w:rPr>
              <w:t>记</w:t>
            </w:r>
            <w:r>
              <w:rPr>
                <w:rFonts w:hint="eastAsia" w:ascii="宋体" w:hAnsi="宋体" w:eastAsia="宋体" w:cs="宋体"/>
                <w:i w:val="0"/>
                <w:color w:val="auto"/>
                <w:kern w:val="0"/>
                <w:sz w:val="15"/>
                <w:szCs w:val="15"/>
                <w:highlight w:val="none"/>
                <w:u w:val="none"/>
                <w:lang w:val="en-US" w:eastAsia="zh-CN"/>
              </w:rPr>
              <w:t>管理条例实施细则》（2022年3月1日国家市场监督管理总局令第52号）</w:t>
            </w:r>
            <w:r>
              <w:rPr>
                <w:rFonts w:hint="eastAsia" w:ascii="宋体" w:hAnsi="宋体" w:eastAsia="宋体" w:cs="宋体"/>
                <w:i w:val="0"/>
                <w:strike w:val="0"/>
                <w:dstrike w:val="0"/>
                <w:color w:val="auto"/>
                <w:kern w:val="0"/>
                <w:sz w:val="15"/>
                <w:szCs w:val="15"/>
                <w:highlight w:val="none"/>
                <w:u w:val="none"/>
                <w:lang w:val="en-US" w:eastAsia="zh-CN"/>
              </w:rPr>
              <w:t xml:space="preserve">第四十六条 </w:t>
            </w:r>
          </w:p>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行政审批局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股东、发起人、投资人、出资人（主管部门）、合伙人登记机关、户口所在地公安派出所</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601" w:type="dxa"/>
            <w:noWrap w:val="0"/>
            <w:vAlign w:val="center"/>
          </w:tcPr>
          <w:p>
            <w:pPr>
              <w:pStyle w:val="3"/>
              <w:jc w:val="center"/>
              <w:rPr>
                <w:rFonts w:hint="default" w:ascii="宋体" w:hAnsi="宋体" w:eastAsia="宋体" w:cs="宋体"/>
                <w:b w:val="0"/>
                <w:bCs w:val="0"/>
                <w:color w:val="auto"/>
                <w:sz w:val="15"/>
                <w:szCs w:val="15"/>
                <w:lang w:val="en-US" w:eastAsia="zh-CN"/>
              </w:rPr>
            </w:pPr>
            <w:r>
              <w:rPr>
                <w:rFonts w:hint="eastAsia" w:hAnsi="宋体" w:cs="宋体"/>
                <w:b w:val="0"/>
                <w:bCs w:val="0"/>
                <w:color w:val="auto"/>
                <w:sz w:val="15"/>
                <w:szCs w:val="15"/>
                <w:lang w:val="en-US" w:eastAsia="zh-CN"/>
              </w:rPr>
              <w:t>31</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与被继承人的亲属关系证明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《中华人民共和国民法典》第二百零九条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《不动产登记暂行条例》（国务院令第656号，2019年3月24日修订）第十六条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《不动产登记暂行条例实施细则》（国土资源部令第63号）第十四条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市、县级自然资源和规划部门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户口所在地公安派出所、村（居）委会、用人单位</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仅限于难以获取的继承人与被继承人之间的亲属关系证明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601" w:type="dxa"/>
            <w:noWrap w:val="0"/>
            <w:vAlign w:val="center"/>
          </w:tcPr>
          <w:p>
            <w:pPr>
              <w:pStyle w:val="3"/>
              <w:jc w:val="center"/>
              <w:rPr>
                <w:rFonts w:hint="default" w:ascii="宋体" w:hAnsi="宋体" w:eastAsia="宋体" w:cs="宋体"/>
                <w:b w:val="0"/>
                <w:bCs w:val="0"/>
                <w:color w:val="auto"/>
                <w:sz w:val="15"/>
                <w:szCs w:val="15"/>
                <w:lang w:val="en-US" w:eastAsia="zh-CN"/>
              </w:rPr>
            </w:pPr>
            <w:r>
              <w:rPr>
                <w:rFonts w:hint="eastAsia" w:hAnsi="宋体" w:cs="宋体"/>
                <w:b w:val="0"/>
                <w:bCs w:val="0"/>
                <w:color w:val="auto"/>
                <w:sz w:val="15"/>
                <w:szCs w:val="15"/>
                <w:lang w:val="en-US" w:eastAsia="zh-CN"/>
              </w:rPr>
              <w:t>32</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被继承人或遗赠人死亡证明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《中华人民共和国民法典》第二百零九条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《不动产登记暂行条例》（国务院令第656号，2019年3月24日修订）第十六条 </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《不动产登记暂行条例实施细则》（国土资源部令第63号）第二十七条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市、县级自然资源和规划部门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w:t>
            </w:r>
            <w:r>
              <w:rPr>
                <w:rFonts w:hint="eastAsia" w:ascii="宋体" w:eastAsia="宋体" w:cs="宋体"/>
                <w:i w:val="0"/>
                <w:color w:val="auto"/>
                <w:kern w:val="0"/>
                <w:sz w:val="15"/>
                <w:szCs w:val="15"/>
                <w:highlight w:val="none"/>
                <w:u w:val="none"/>
                <w:lang w:val="en-US" w:eastAsia="zh-CN"/>
              </w:rPr>
              <w:t>人民</w:t>
            </w:r>
            <w:r>
              <w:rPr>
                <w:rFonts w:hint="eastAsia" w:ascii="宋体" w:hAnsi="宋体" w:eastAsia="宋体" w:cs="宋体"/>
                <w:i w:val="0"/>
                <w:color w:val="auto"/>
                <w:kern w:val="0"/>
                <w:sz w:val="15"/>
                <w:szCs w:val="15"/>
                <w:highlight w:val="none"/>
                <w:u w:val="none"/>
                <w:lang w:val="en-US" w:eastAsia="zh-CN"/>
              </w:rPr>
              <w:t>法院、医疗机构</w:t>
            </w:r>
          </w:p>
        </w:tc>
        <w:tc>
          <w:tcPr>
            <w:tcW w:w="83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难以获取的被继承人父母的死亡证明(其他难以获取的死亡证明可参照)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color w:val="auto"/>
                <w:sz w:val="15"/>
                <w:szCs w:val="15"/>
                <w:lang w:val="en-US" w:eastAsia="zh-CN"/>
              </w:rPr>
            </w:pPr>
            <w:r>
              <w:rPr>
                <w:rFonts w:hint="eastAsia" w:ascii="宋体" w:hAnsi="宋体" w:eastAsia="宋体" w:cs="宋体"/>
                <w:b w:val="0"/>
                <w:bCs w:val="0"/>
                <w:color w:val="auto"/>
                <w:sz w:val="15"/>
                <w:szCs w:val="15"/>
                <w:lang w:val="en-US" w:eastAsia="zh-CN"/>
              </w:rPr>
              <w:t>33</w:t>
            </w:r>
          </w:p>
        </w:tc>
        <w:tc>
          <w:tcPr>
            <w:tcW w:w="972"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居民住宅改为商务用房不扰民证明</w:t>
            </w:r>
          </w:p>
        </w:tc>
        <w:tc>
          <w:tcPr>
            <w:tcW w:w="996"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将住宅改为经营性用房</w:t>
            </w:r>
          </w:p>
        </w:tc>
        <w:tc>
          <w:tcPr>
            <w:tcW w:w="221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《中华人民共和国民法典》第二百七十九条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有利害关系的业主</w:t>
            </w:r>
          </w:p>
        </w:tc>
        <w:tc>
          <w:tcPr>
            <w:tcW w:w="830"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none"/>
                <w:lang w:val="en-US" w:eastAsia="zh-CN"/>
              </w:rPr>
            </w:pPr>
          </w:p>
        </w:tc>
      </w:tr>
    </w:tbl>
    <w:p>
      <w:pPr>
        <w:spacing w:line="600" w:lineRule="exact"/>
        <w:rPr>
          <w:rFonts w:hint="eastAsia" w:ascii="方正小标宋_GBK" w:hAnsi="方正小标宋简体" w:eastAsia="方正小标宋_GBK" w:cs="方正小标宋简体"/>
          <w:sz w:val="44"/>
          <w:szCs w:val="44"/>
        </w:rPr>
      </w:pPr>
    </w:p>
    <w:p/>
    <w:sectPr>
      <w:footerReference r:id="rId3" w:type="default"/>
      <w:pgSz w:w="16838" w:h="11906" w:orient="landscape"/>
      <w:pgMar w:top="1474" w:right="1814" w:bottom="1474" w:left="1757" w:header="851" w:footer="992" w:gutter="0"/>
      <w:pgNumType w:fmt="decimal" w:start="3"/>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-513080</wp:posOffset>
              </wp:positionH>
              <wp:positionV relativeFrom="paragraph">
                <wp:posOffset>-610235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40.4pt;margin-top:-48.05pt;height:144pt;width:144pt;mso-position-horizontal-relative:margin;mso-wrap-style:none;rotation:5898240f;z-index:251659264;mso-width-relative:page;mso-height-relative:page;" filled="f" stroked="f" coordsize="21600,21600" o:gfxdata="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IU2+dgAAAALAQAADwAAAAAAAAABACAAAAAi&#10;AAAAZHJzL2Rvd25yZXYueG1sUEsBAhQAFAAAAAgAh07iQJ3yLafRAQAApwMAAA4AAAAAAAAAAQAg&#10;AAAAJwEAAGRycy9lMm9Eb2MueG1sUEsFBgAAAAAGAAYAWQEAAGoFAAAAAA==&#10;">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FB5DFD"/>
    <w:rsid w:val="7C691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ind w:left="100" w:leftChars="100" w:right="100" w:rightChars="100"/>
    </w:pPr>
    <w:rPr>
      <w:rFonts w:ascii="Calibri" w:hAnsi="Calibri"/>
    </w:rPr>
  </w:style>
  <w:style w:type="paragraph" w:styleId="3">
    <w:name w:val="Plain Text"/>
    <w:basedOn w:val="1"/>
    <w:qFormat/>
    <w:uiPriority w:val="0"/>
    <w:rPr>
      <w:rFonts w:ascii="宋体" w:hAnsi="Courier New" w:eastAsia="宋体"/>
      <w:sz w:val="21"/>
      <w:szCs w:val="21"/>
    </w:rPr>
  </w:style>
  <w:style w:type="paragraph" w:styleId="4">
    <w:name w:val="footer"/>
    <w:basedOn w:val="1"/>
    <w:qFormat/>
    <w:uiPriority w:val="0"/>
    <w:pPr>
      <w:tabs>
        <w:tab w:val="center" w:pos="4153"/>
        <w:tab w:val="right" w:pos="8306"/>
      </w:tabs>
      <w:snapToGrid w:val="0"/>
      <w:jc w:val="left"/>
    </w:pPr>
    <w:rPr>
      <w:sz w:val="18"/>
      <w:szCs w:val="18"/>
    </w:rPr>
  </w:style>
  <w:style w:type="table" w:styleId="6">
    <w:name w:val="Table Grid"/>
    <w:basedOn w:val="5"/>
    <w:qFormat/>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2025-05-21T01:27:00Z</dcterms:created>
  <dc:creator>Administrator</dc:creator>
  <cp:lastModifiedBy>lenovo</cp:lastModifiedBy>
  <dcterms:modified xsi:type="dcterms:W3CDTF">2025-06-19T02:47:21Z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5D7059B49BF9461AA95211E56956066E</vt:lpwstr>
  </property>
</Properties>
</file>