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4B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  <w:lang w:bidi="ar-SA"/>
        </w:rPr>
      </w:pPr>
    </w:p>
    <w:p w14:paraId="2CC5D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  <w:lang w:bidi="ar-SA"/>
        </w:rPr>
        <w:t>山海关区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</w:rPr>
        <w:t>202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</w:rPr>
        <w:t>年</w:t>
      </w:r>
    </w:p>
    <w:p w14:paraId="34621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</w:rPr>
        <w:t>国民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  <w:lang w:bidi="ar-SA"/>
        </w:rPr>
        <w:t>经济和社会发展统计公报</w:t>
      </w:r>
    </w:p>
    <w:p w14:paraId="71DA49D8">
      <w:pPr>
        <w:pStyle w:val="9"/>
        <w:rPr>
          <w:rFonts w:hint="default" w:ascii="Times New Roman" w:hAnsi="Times New Roman" w:cs="Times New Roman"/>
          <w:highlight w:val="none"/>
        </w:rPr>
      </w:pPr>
    </w:p>
    <w:p w14:paraId="698F15FF">
      <w:pPr>
        <w:pStyle w:val="2"/>
        <w:ind w:left="0" w:leftChars="0" w:firstLine="0" w:firstLineChars="0"/>
        <w:rPr>
          <w:rFonts w:hint="default"/>
        </w:rPr>
      </w:pPr>
    </w:p>
    <w:p w14:paraId="7CD18313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2024年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，在区委、区政府的坚强领导下，全区上下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坚持以习近平新时代中国特色社会主义思想为指导，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紧盯全年目标任务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加压奋进、统筹各方、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以进促稳、克难攻坚。全区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经济持续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稳步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发展，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经济总量迈上新台阶，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改革创新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不断深入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，民生保障有力有效，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高质量发展取得积极进展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。</w:t>
      </w:r>
    </w:p>
    <w:p w14:paraId="1C4925A7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综  合</w:t>
      </w:r>
    </w:p>
    <w:p w14:paraId="22119F25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初步核算，全年实现地区生产总值（GDP）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1001289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万元，按可比价格计算，比上年增长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3.0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%。分产业看，第一产业增加值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99040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万元，增长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2.9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%；第二产业增加值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324610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万元，增长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2.3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%；第三产业增加值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577639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增长3.3%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。一、二、三产业对经济增长的贡献率分别为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11.5%、24.9%和63.6%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，三次产业构成比重为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9.9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32.4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57.7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。全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人均生产总值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61732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元，比上年增长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2.7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%。</w:t>
      </w:r>
    </w:p>
    <w:p w14:paraId="12BC1F0C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年民营经济实现增加值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532786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万元，比上年增长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5.5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%，占全区生产总值的比重为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53.2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%。</w:t>
      </w:r>
    </w:p>
    <w:p w14:paraId="75E23B77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年末全区常住人口162272人，常住城镇人口152234人，常住人口城镇化率93.8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1D7C296B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农  业</w:t>
      </w:r>
    </w:p>
    <w:p w14:paraId="1C651AF2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全年实现农林牧渔业增加值102960万元，比上年增长3.1%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。实现农林牧渔业总产值155049万元，比上年增长3.2%。其中，农业产值77759万元，同比增长2.2%；林业产值672万元，同比增长138.1%；牧业产值47547万元，同比增长6.3%；渔业产值22740万元，同比下降2.3%；农林牧渔服务业产值6331万元，同比增长7.2%。</w:t>
      </w:r>
    </w:p>
    <w:p w14:paraId="1675F184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全年粮食作物播种面积8016.58亩，下降2.1%；粮食总产量3163.94吨，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增长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5.0%。其中，夏粮产量798.95吨，下降23.2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；秋粮产量2364.99吨，增长19.9%。豆类播种面积1000亩，下降39.8%；豆类产量159.76吨，下降44.0%。薯类播种面积2364亩，下降50.3%；鲜薯产量4549.38吨，下降51.1%。</w:t>
      </w:r>
    </w:p>
    <w:p w14:paraId="55886856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全年蔬菜及食用菌播种面积2685.13公顷，比上年增长2.8%；蔬菜及食用菌产量183225.84吨，增长4.2%。园林水果产量27320.58吨，增长2.5%。食用坚果产量76.95吨，增长1.1%。</w:t>
      </w:r>
    </w:p>
    <w:p w14:paraId="1862A00B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猪出栏731.55百头，比上年增长8.2%；牛出栏28.59百头，下降2.0%；羊出栏206.76百只，增长0.2%；活家禽出栏17378.65百只，增长1.6%。猪牛羊禽肉产量8679.57吨，增长7.3%。禽蛋产量4819.95吨，增长2.0%。生牛奶产量3400.86吨，下降2.2%。</w:t>
      </w:r>
    </w:p>
    <w:p w14:paraId="19E99F17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全年水产品产量3275吨，比上年下降2.1%。其中，海水产品产量3275吨，下降2.1%。</w:t>
      </w:r>
    </w:p>
    <w:p w14:paraId="4A6391D2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全年农业产业化经营率为76.92%，比上年下降1.91个百分点。</w:t>
      </w:r>
    </w:p>
    <w:p w14:paraId="54551BA9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工业和建筑业</w:t>
      </w:r>
    </w:p>
    <w:p w14:paraId="1DA0121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全年实现全部工业增加值282483万元，比上年下降2.1%。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其中，规模以上工业增加值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下降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3.6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2EC37820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规模以上工业中，从经济类型看，国有控股企业增加值下降19.0%，股份制企业增加值下降0.5%，外商及港澳台投资企业增加值增长2.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。从主要行业看，农副食品加工业增加值下降4.7%，食品制造业增加值下降15.2%，黑色金属冶炼和压延加工业增加值下降15.5%，医药制造业增加值增长10.7%，专用设备制造业增加值增长20.8%，通用设备制造业增加值下降4.9%，</w:t>
      </w:r>
      <w:bookmarkStart w:id="0" w:name="OLE_LINK1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铁路、船舶、航空航天和其他运输设备制造业</w:t>
      </w:r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增加值下降10.2%，金属制品业增加值下降24.4%。</w:t>
      </w:r>
    </w:p>
    <w:p w14:paraId="7F1AF568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规模以上工业企业实现利润总额88773万元，比上年增长28.3%。分经济类型看，国有控股企业实现利润总额42841万元，增长46.5%；股份制企业实现利润总额74167万元，增长26.4%；外商及港澳台投资企业实现利润总额14606万元，增长38.9%。从主要行业看，农副食品加工业实现利润总额-1581万元，上年同期-1908万元；食品制造业实现利润总额1039万元，下降62.7%；黑色金属冶炼和压延加工业实现利润总额-491万元，</w:t>
      </w:r>
      <w:bookmarkStart w:id="1" w:name="OLE_LINK2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上年同期552万元</w:t>
      </w:r>
      <w:bookmarkEnd w:id="1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；医药制造业实现利润总额17104万元，下降4.7%；专用设备制造业实现利润总额1538万元，下降16.0%；铁路、船舶、航空航天和其他运输设备制造业实现利润总额62397万元，增长41.8%；金属制品业实现利润总额-143万元，上年同期139万元。</w:t>
      </w:r>
    </w:p>
    <w:p w14:paraId="196AE14B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全年实现建筑业增加值44298万元，比上年增长36.2%。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全区有总承包和专业承包资质的建筑业企业6家，实现总产值11802万元，比上年增长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25.2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%。随着企业数量和新签合同额增加，建筑行业从业人员增加，吸纳就业人员能力显现，2024年从事建筑业活动的期末人数增长56%。</w:t>
      </w:r>
    </w:p>
    <w:p w14:paraId="1615A222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服务业</w:t>
      </w:r>
    </w:p>
    <w:p w14:paraId="1CCDC478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全年服务业增加值577639万元，比上年增长3.3%。其中，批发和零售业增加值42323万元，增长13.2%；交通运输、仓储和邮政业增加值203451万元，下降0.03%；住宿和餐饮业增加值20223万元，增长4.7%；金融业增加值53207万元，增长6.5%；房地产业增加值44148万元，增长4.0%；其他服务业增加值208196万元，增长4.4%（其中，营利性服务业增加值64430万元，增长7.1%；非营利性服务业增加值143766万元，增长3.4%）。</w:t>
      </w:r>
    </w:p>
    <w:p w14:paraId="44516F5A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全年规模以上服务业实现营业收入62766万元，比上年增长14%。共涉及8个行业。分行业看，交通运输仓储和邮政业当年无数据，房地产业增长9%、科学研究和技术服务增长63%、水利环境和公共设施管理业增长13%、居民服务修理和其他服务业下降13%、教育行业下降12%、卫生和社会工作增长11%、文化体育和娱乐业增长15%。</w:t>
      </w:r>
    </w:p>
    <w:p w14:paraId="1B9F0765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</w:rPr>
        <w:t>全区公路里程303.952公里，其中高速公路24.525公里，国省干线公路57.771公里，农村公路203.815公里，旅游专用路17.841公里。</w:t>
      </w:r>
    </w:p>
    <w:p w14:paraId="4D3E2D3E">
      <w:pPr>
        <w:spacing w:line="600" w:lineRule="exact"/>
        <w:ind w:firstLine="640" w:firstLineChars="200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移动、联通、电信三家公司实现通讯业务收入1.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亿元，年末固定电话用户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2.2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万户，移动电话用户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21.92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万户，互联网宽带接入户数9.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65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万户。</w:t>
      </w:r>
    </w:p>
    <w:p w14:paraId="5A74E2FF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国内贸易</w:t>
      </w:r>
    </w:p>
    <w:p w14:paraId="0FD57467">
      <w:pPr>
        <w:spacing w:line="600" w:lineRule="exact"/>
        <w:ind w:firstLine="640" w:firstLineChars="200"/>
        <w:rPr>
          <w:rFonts w:hint="default" w:ascii="Times New Roman" w:hAnsi="Times New Roman" w:cs="Times New Roman"/>
          <w:color w:val="0000FF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bidi="ar-SA"/>
        </w:rPr>
        <w:t>全年实现社会消费品零售总额完成259410.4万元，同比增长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5.9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bidi="ar-SA"/>
        </w:rPr>
        <w:t>%。其中，限额以上单位消费品零售额累计完成44248.8万元，同比增长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10.2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bidi="ar-SA"/>
        </w:rPr>
        <w:t>%。按消费形态分，商品零售实现248188.4万元，增长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5.8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bidi="ar-SA"/>
        </w:rPr>
        <w:t>%；餐饮收入实现11222.0万元，增长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8.1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bidi="ar-SA"/>
        </w:rPr>
        <w:t>%。按销售单位所在地分，城镇市场社会消费品零售额完成232283.4万元，增长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8.3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bidi="ar-SA"/>
        </w:rPr>
        <w:t>%。乡村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市场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bidi="ar-SA"/>
        </w:rPr>
        <w:t>社会消费品零售额完成27127.0万元，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下降10.9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3E0C8868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固定资产投资</w:t>
      </w:r>
    </w:p>
    <w:p w14:paraId="284D14AB">
      <w:pPr>
        <w:spacing w:line="600" w:lineRule="exact"/>
        <w:ind w:firstLine="640" w:firstLineChars="20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全年固定资产投资（不含农户）比上年增长6.6%。按三次产业分，第一产业投资同比增长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"/>
        </w:rPr>
        <w:t>87.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%，占固定资产投资总量的比重为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"/>
        </w:rPr>
        <w:t>1.7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%；第二产业完成投资同比增长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"/>
        </w:rPr>
        <w:t>39.5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%，占固定资产投资总量的比重为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"/>
        </w:rPr>
        <w:t>47.5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%；第三产业完成投资同比下降13.7%，占固定资产投资总量的比重为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"/>
        </w:rPr>
        <w:t>50.8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%。从投资类型看，建设项目投资同比增长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40.6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%，占固定资产投资总额的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"/>
        </w:rPr>
        <w:t>88.6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%；房地产开发投资同比下降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"/>
        </w:rPr>
        <w:t>63.1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%，占固定资产投资总额的11.4%。从重点领域看，工业投资增长39.5%，工业技改投资同比下降30.3%。</w:t>
      </w:r>
    </w:p>
    <w:p w14:paraId="3131C853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对外经济</w:t>
      </w:r>
    </w:p>
    <w:p w14:paraId="71EDD5B4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全年全区进出口总额5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9288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万元，比上年增长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8.1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%。其中，进口额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15666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万元，比上年增长18.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%。出口额4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3623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万元，比上年增长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4.8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1C296182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财政税收</w:t>
      </w:r>
    </w:p>
    <w:p w14:paraId="056AB59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其中一般公共预算收入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87042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万元，增长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1.7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%。一般公共预算收入中，税收收入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42580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万元，同比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增长16.3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%。一般公共预算支出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159775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万元，同比增长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4BB00F8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全区完成税收收入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88979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万元。分税种情况看，完成国内增值税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46279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万元，国内消费税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127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万元，企业所得税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16472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万元，个人所得税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4008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万元，资源税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721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万元，城市维护建设税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3009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万元，房产税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3584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万元，印花税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1206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万元，城镇土地使用税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5584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万元，土地增值税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314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万元，车船税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1494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万元，契税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3761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万元，环境保护税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62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万元。</w:t>
      </w:r>
    </w:p>
    <w:p w14:paraId="5EDEAC4E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居民收入和社会保障</w:t>
      </w:r>
    </w:p>
    <w:p w14:paraId="71AA0FB3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全年城镇居民人均可支配收入45908元，比上年增长4.7%。</w:t>
      </w:r>
    </w:p>
    <w:p w14:paraId="5D978AFC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全年城镇职工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基本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养老保险参保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39260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人，城乡居民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基本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养老保险参保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31997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人。全年城镇职工医疗保险参保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28765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人，城乡居民基本医疗保险参保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77261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人。全年生育保险参保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18686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人。全年失业保险参保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15325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</w:t>
      </w:r>
    </w:p>
    <w:p w14:paraId="10EB324D">
      <w:pPr>
        <w:pStyle w:val="10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全年最低生活保障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452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人。其中，城镇居民最低生活保障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266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人，农村居民最低生活保障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186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</w:t>
      </w:r>
    </w:p>
    <w:p w14:paraId="5A05229E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教育和科学技术</w:t>
      </w:r>
    </w:p>
    <w:p w14:paraId="1479329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教育事业优先发展。年末我区共有公办小学10所，其中城市小学7所，农村小学3所，小学现有教职工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692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人，专任教师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609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人，在校生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7900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人，本年招生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1086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人，本年毕业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1504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人。年末共有公办初级中学4所，初级中学现有教职工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363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人，专任教师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329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名，在校生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3012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名，本年招生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1080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人，本年毕业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913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人。年末共有公办高级中学2所，其中山一中现有教职工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132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人，专任教师11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名，在校生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1305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人，本年招生44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人，本年毕业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430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人；秦皇岛职业技术学校现有教职工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人，专任教师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名，在校生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946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人，本年招生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460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人，本年毕业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254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</w:t>
      </w:r>
    </w:p>
    <w:p w14:paraId="7E59F0B2">
      <w:pPr>
        <w:spacing w:line="600" w:lineRule="exact"/>
        <w:ind w:firstLine="640" w:firstLineChars="200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科学技术创新发展。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36家企业通过国家级科技型中小企业认定，72家企业通过省级科技型中小企业认定。工务器材获批省级制造业单项冠军企业，巨力机械等4家企业获批省专精特新中小企业。琨煜晶材、恒铸机械被成功认定为省级创新型中小企业。优台鑫作、建投热力成功纳统入规。龙邦机械成功申报高新技术企业，雅豪新材料新建省级技术创新中心。</w:t>
      </w:r>
    </w:p>
    <w:p w14:paraId="71FADA35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十一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文化旅游、卫生健康和体育</w:t>
      </w:r>
    </w:p>
    <w:p w14:paraId="2B70F9F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文化事业健康开展。年末全区拥有公共图书馆1个，建筑面积4679平方米，总藏书量16.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81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万册，全年借阅人次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9.28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万人次；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</w:rPr>
        <w:t>档案馆1座，建筑面积1200平方米，馆藏档案59141卷，105668件。利用510人次，2583卷次；文物保护单位50处；文化馆1个，文化站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</w:rPr>
        <w:t>个，村（社区）文化服务中心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/>
        </w:rPr>
        <w:t>92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</w:rPr>
        <w:t>个；网吧5个，歌舞厅、练歌房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</w:rPr>
        <w:t>个。</w:t>
      </w:r>
    </w:p>
    <w:p w14:paraId="325273A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全年接待游客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828.65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万人次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实现旅游门票收入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25011.76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万元。</w:t>
      </w:r>
    </w:p>
    <w:p w14:paraId="555A5C25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卫生健康持续推进。年末全区医疗卫生机构实有床位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1190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张，实有职工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1891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其中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专业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技术人员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1639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专业技术人员中，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初级职称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734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人，中级职称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566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人，高级职称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284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</w:t>
      </w:r>
    </w:p>
    <w:p w14:paraId="0F00BA10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体育事业成绩突出。全区共有体育工作人员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人，其中专职教练员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人。现有少年儿童业余体校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所，在校生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60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名，专职教练员5人。体育系统举办各类运动会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40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场次，1.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万人直接参与。运动员在省级比赛中夺得金牌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枚、银牌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枚、铜牌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枚，在市级比赛中夺得金牌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枚、银牌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枚、铜牌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枚。</w:t>
      </w:r>
    </w:p>
    <w:p w14:paraId="4884AAEB">
      <w:pPr>
        <w:pStyle w:val="10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十二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婚姻优抚和环境质量</w:t>
      </w:r>
    </w:p>
    <w:p w14:paraId="08FA2857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婚姻状况总体平稳。全年婚姻登记结婚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453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对，其中初婚人数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466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人、再婚人数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336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人。全年离婚登记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305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对。</w:t>
      </w:r>
    </w:p>
    <w:p w14:paraId="2C720AC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双拥优抚能力有效提升。全区共有优抚对象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711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人，其中残疾人员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人，三属人员7人，两参人员44人，在乡复员军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人，带病回乡退伍军人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人，60周岁以上农村籍贯退伍士兵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570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人，60周岁以上烈士老年子女7人。服兵役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人。享受残疾抚恤金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人，享受定期抚恤金7人，享受生活补助金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647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人。优待优抚对象711户，优待总金额761万元，其中义务兵优待金158.1万元。</w:t>
      </w:r>
    </w:p>
    <w:p w14:paraId="543D9F6E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50" w:lineRule="exact"/>
        <w:ind w:leftChars="0" w:firstLine="640" w:firstLineChars="200"/>
        <w:jc w:val="both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生态安全统筹发展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全年，全社会能源消费总量32.66万吨标准煤，比上年增长0.83%;单位GDP能耗0.3449吨标准煤/万元，比上年下降2.07%。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12个村环境整治如期完成，29家涉危废企业、365家畜禽养殖场实现规范管理，2宗监管建设用地安全利用率达100%，生态环境质量持续改善。</w:t>
      </w:r>
    </w:p>
    <w:p w14:paraId="0B2D7134">
      <w:pPr>
        <w:pStyle w:val="6"/>
        <w:rPr>
          <w:rFonts w:hint="default" w:ascii="Times New Roman" w:hAnsi="Times New Roman" w:cs="Times New Roman"/>
          <w:highlight w:val="none"/>
        </w:rPr>
      </w:pPr>
    </w:p>
    <w:p w14:paraId="2E7905B0">
      <w:pPr>
        <w:rPr>
          <w:rFonts w:hint="default" w:ascii="Times New Roman" w:hAnsi="Times New Roman" w:cs="Times New Roman"/>
          <w:highlight w:val="none"/>
        </w:rPr>
      </w:pPr>
    </w:p>
    <w:p w14:paraId="5655D4A5">
      <w:pPr>
        <w:pStyle w:val="2"/>
        <w:rPr>
          <w:rFonts w:hint="default" w:ascii="Times New Roman" w:hAnsi="Times New Roman" w:cs="Times New Roman"/>
          <w:highlight w:val="none"/>
        </w:rPr>
      </w:pPr>
    </w:p>
    <w:p w14:paraId="052FF54F">
      <w:pPr>
        <w:rPr>
          <w:rFonts w:hint="default" w:ascii="Times New Roman" w:hAnsi="Times New Roman" w:cs="Times New Roman"/>
          <w:highlight w:val="none"/>
        </w:rPr>
      </w:pPr>
    </w:p>
    <w:p w14:paraId="777DC2AE">
      <w:pPr>
        <w:pStyle w:val="2"/>
        <w:rPr>
          <w:rFonts w:hint="default"/>
        </w:rPr>
      </w:pPr>
    </w:p>
    <w:p w14:paraId="5F4B49DC">
      <w:pPr>
        <w:spacing w:line="600" w:lineRule="exact"/>
        <w:ind w:firstLine="562" w:firstLineChars="200"/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注释：</w:t>
      </w:r>
    </w:p>
    <w:p w14:paraId="6298C9B1">
      <w:pPr>
        <w:spacing w:line="600" w:lineRule="exact"/>
        <w:ind w:firstLine="562" w:firstLineChars="200"/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[1]本公报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</w:rPr>
        <w:t>202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</w:rPr>
        <w:t>年部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分数据为快报统计数据。</w:t>
      </w:r>
    </w:p>
    <w:p w14:paraId="1D131A21">
      <w:pPr>
        <w:spacing w:line="600" w:lineRule="exact"/>
        <w:ind w:firstLine="562" w:firstLineChars="200"/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[2]公报中部分数据来源于相关部门。</w:t>
      </w:r>
    </w:p>
    <w:p w14:paraId="3CFA54E0">
      <w:pPr>
        <w:spacing w:line="600" w:lineRule="exact"/>
        <w:ind w:firstLine="562" w:firstLineChars="200"/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[3]地区生产总值、各产业增加值绝对值按当年价格计算，增长速度按可比价格计算。</w:t>
      </w:r>
    </w:p>
    <w:p w14:paraId="25E79967">
      <w:pPr>
        <w:spacing w:line="600" w:lineRule="exact"/>
        <w:ind w:firstLine="562" w:firstLineChars="200"/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[4]按照我国地区生产总值统一核算和数据发布制度规定，地区生产总值核算包括初步核算和最终核实两个步骤。最终核实数据确定后，初步核算数据不再使用。</w:t>
      </w:r>
    </w:p>
    <w:p w14:paraId="4CE57F4A">
      <w:pPr>
        <w:spacing w:line="600" w:lineRule="exact"/>
        <w:ind w:firstLine="562" w:firstLineChars="200"/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[5]部分数据合计数或相对数由于单位取舍不同而产生的计算误差，均未作机械调整。</w:t>
      </w:r>
    </w:p>
    <w:sectPr>
      <w:headerReference r:id="rId3" w:type="default"/>
      <w:footerReference r:id="rId4" w:type="default"/>
      <w:pgSz w:w="11906" w:h="16838"/>
      <w:pgMar w:top="1440" w:right="1701" w:bottom="1440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B9BD2">
    <w:pPr>
      <w:pStyle w:val="7"/>
    </w:pP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8255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0D2C4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6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pYFbK9IAAAAGAQAADwAAAAAAAAABACAAAAAiAAAAZHJzL2Rvd25yZXYueG1sUEsB&#10;AhQAFAAAAAgAh07iQJu61xDCAQAAjQMAAA4AAAAAAAAAAQAgAAAAI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F0D2C4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A6462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17231CA"/>
    <w:rsid w:val="04D72C49"/>
    <w:rsid w:val="077324C8"/>
    <w:rsid w:val="078E4413"/>
    <w:rsid w:val="0B2A4A9B"/>
    <w:rsid w:val="0E30376D"/>
    <w:rsid w:val="0E6B6907"/>
    <w:rsid w:val="137145D8"/>
    <w:rsid w:val="175468D6"/>
    <w:rsid w:val="1FBF76DE"/>
    <w:rsid w:val="23823E26"/>
    <w:rsid w:val="274C5087"/>
    <w:rsid w:val="274E2589"/>
    <w:rsid w:val="27EF59B5"/>
    <w:rsid w:val="2E796D94"/>
    <w:rsid w:val="319C0D5C"/>
    <w:rsid w:val="31C204AF"/>
    <w:rsid w:val="3D3E1186"/>
    <w:rsid w:val="3F7E5908"/>
    <w:rsid w:val="3F902170"/>
    <w:rsid w:val="40D278B8"/>
    <w:rsid w:val="42C15095"/>
    <w:rsid w:val="45535E84"/>
    <w:rsid w:val="473F29FA"/>
    <w:rsid w:val="475C79A2"/>
    <w:rsid w:val="4B3876F6"/>
    <w:rsid w:val="4C5B7B68"/>
    <w:rsid w:val="4CED54D5"/>
    <w:rsid w:val="561C270B"/>
    <w:rsid w:val="5AC735FB"/>
    <w:rsid w:val="5BC52DBE"/>
    <w:rsid w:val="63D1197B"/>
    <w:rsid w:val="6598698C"/>
    <w:rsid w:val="65AA22B9"/>
    <w:rsid w:val="66935628"/>
    <w:rsid w:val="67C064D6"/>
    <w:rsid w:val="6D663E0B"/>
    <w:rsid w:val="707C556B"/>
    <w:rsid w:val="731C4649"/>
    <w:rsid w:val="746619E1"/>
    <w:rsid w:val="747D102B"/>
    <w:rsid w:val="76E7701B"/>
    <w:rsid w:val="79B56658"/>
    <w:rsid w:val="7A123721"/>
    <w:rsid w:val="7C3B04DD"/>
    <w:rsid w:val="7F754BB9"/>
    <w:rsid w:val="FBFF75FB"/>
    <w:rsid w:val="FF6FF0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  <w:ind w:firstLine="200" w:firstLineChars="200"/>
    </w:pPr>
    <w:rPr>
      <w:rFonts w:ascii="??_GB2312" w:hAnsi="??_GB2312" w:cs="??_GB2312"/>
      <w:sz w:val="30"/>
      <w:szCs w:val="30"/>
    </w:rPr>
  </w:style>
  <w:style w:type="paragraph" w:styleId="6">
    <w:name w:val="index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index 7"/>
    <w:basedOn w:val="1"/>
    <w:next w:val="1"/>
    <w:qFormat/>
    <w:uiPriority w:val="0"/>
    <w:pPr>
      <w:ind w:left="2520"/>
    </w:pPr>
  </w:style>
  <w:style w:type="paragraph" w:styleId="10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10</Pages>
  <Words>4283</Words>
  <Characters>5429</Characters>
  <Lines>2</Lines>
  <Paragraphs>0</Paragraphs>
  <TotalTime>58</TotalTime>
  <ScaleCrop>false</ScaleCrop>
  <LinksUpToDate>false</LinksUpToDate>
  <CharactersWithSpaces>5434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2023-04-08T01:40:00Z</dcterms:created>
  <dc:creator>ASUS</dc:creator>
  <cp:lastModifiedBy>iFLYTEK</cp:lastModifiedBy>
  <cp:lastPrinted>2024-04-25T23:26:00Z</cp:lastPrinted>
  <dcterms:modified xsi:type="dcterms:W3CDTF">2026-06-25T11:22:09Z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B640DD0299749B79959A3C6AB945D327_43</vt:lpwstr>
  </property>
</Properties>
</file>