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02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highlight w:val="none"/>
          <w:bdr w:val="single" w:color="FFFFFF" w:sz="4" w:space="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highlight w:val="none"/>
          <w:bdr w:val="single" w:color="FFFFFF" w:sz="4" w:space="0"/>
          <w:lang w:bidi="ar-SA"/>
        </w:rPr>
        <w:t>山海关区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highlight w:val="none"/>
          <w:bdr w:val="single" w:color="FFFFFF" w:sz="4" w:space="0"/>
        </w:rPr>
        <w:t>202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highlight w:val="none"/>
          <w:bdr w:val="single" w:color="FFFFFF" w:sz="4" w:space="0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highlight w:val="none"/>
          <w:bdr w:val="single" w:color="FFFFFF" w:sz="4" w:space="0"/>
        </w:rPr>
        <w:t>年</w:t>
      </w:r>
    </w:p>
    <w:p w14:paraId="7FAB0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highlight w:val="none"/>
          <w:bdr w:val="single" w:color="FFFFFF" w:sz="4" w:space="0"/>
        </w:rPr>
        <w:t>国民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highlight w:val="none"/>
          <w:bdr w:val="single" w:color="FFFFFF" w:sz="4" w:space="0"/>
          <w:lang w:bidi="ar-SA"/>
        </w:rPr>
        <w:t>经济和社会发展统计公报</w:t>
      </w:r>
    </w:p>
    <w:bookmarkEnd w:id="0"/>
    <w:p w14:paraId="11901E1E">
      <w:pPr>
        <w:pStyle w:val="8"/>
        <w:rPr>
          <w:rFonts w:hint="eastAsia"/>
        </w:rPr>
      </w:pPr>
    </w:p>
    <w:p w14:paraId="3B0F9A30">
      <w:pPr>
        <w:rPr>
          <w:rFonts w:hint="eastAsia"/>
        </w:rPr>
      </w:pPr>
    </w:p>
    <w:p w14:paraId="49EE8455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，在区委、区政府的坚强领导下，全区上下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紧盯全年目标任务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坚持稳中求进工作总基调，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以进促稳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、合力攻坚。提振信心促发展，稳步推进增动力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经济持续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稳步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发展，改革创新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不断深入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，民生保障有力有效，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生态环保提质增效，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新发展格局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扎实推进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。</w:t>
      </w:r>
    </w:p>
    <w:p w14:paraId="26F9574A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综  合</w:t>
      </w:r>
    </w:p>
    <w:p w14:paraId="7EB1C977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初步核算，全年实现地区生产总值（GDP）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952431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万元，按可比价格计算，比上年增长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5.9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%。分产业看，第一产业增加值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95671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万元，增长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2.1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%；第二产业增加值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308668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万元，增长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1.5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%；第三产业增加值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548092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万元，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增长9.5%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。一、二、三产业对经济增长的贡献率分别为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4.4%、8.9%和86.7%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，三次产业构成比重为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10.1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: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32.4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: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57.5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。</w:t>
      </w:r>
    </w:p>
    <w:p w14:paraId="46057FC2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202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年民营经济实现增加值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603841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万元，比上年增长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5.9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%，占全区生产总值的比重为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63.4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eastAsia="zh-CN" w:bidi="ar-SA"/>
        </w:rPr>
        <w:t>%。</w:t>
      </w:r>
    </w:p>
    <w:p w14:paraId="6428022E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年末全区户籍总户数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50617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户，户籍总人口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124089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人。其中，男性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60543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人，女性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63546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人；户籍城镇人口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114076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人，户籍农村人口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10013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人。全年户籍报出生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528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人，出生率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4.22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‰；户籍报死亡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1618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人，死亡率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12.9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‰，人口自然增长率-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8.68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‰。</w:t>
      </w:r>
    </w:p>
    <w:p w14:paraId="051ED23D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年末全区常住人口16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2072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人，常住城镇人口15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2024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人，常住人口城镇化率93.8%。</w:t>
      </w:r>
    </w:p>
    <w:p w14:paraId="779A6194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全年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城镇新增就业4709人，发放援企稳岗补贴227.46万元，惠及职工7280人。</w:t>
      </w:r>
    </w:p>
    <w:p w14:paraId="44652AE9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农  业</w:t>
      </w:r>
    </w:p>
    <w:p w14:paraId="44150BD2">
      <w:pPr>
        <w:spacing w:line="60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全年实现农林牧渔业增加值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99219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万元，比上年增长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2.3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</w:t>
      </w: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。实现农林牧渔业总产值149583万元，比上年增长2.0%。其中，农业产值76636万元，同比增长1.1%；林业产值286万元，同比增长1.8%；牧业产值44273万元，同比增长4.1%；渔业产值22487万元，与上年基本持平；农林牧渔服务业产值5901万元，同比增长6.4%。</w:t>
      </w:r>
    </w:p>
    <w:p w14:paraId="30F20C54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年粮食作物播种面积8186.87亩，下降6.4%；粮食总产量3012.65吨，下降2.2%。其中，夏粮产量1040.57吨，与上年持平；秋粮产量1972.08吨，下降3.3%。豆类播种面积1660亩，下降25.0%；豆类产量285.11吨，下降29.1%。薯类播种面积4751.8亩，下降7.1%；鲜薯产量9307.28吨，下降8.7%。</w:t>
      </w:r>
    </w:p>
    <w:p w14:paraId="1A3A87AB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全年蔬菜及食用菌播种面积2613.35公顷，比上年增长1.1%；蔬菜及食用菌产量175775.14吨，增长0.9%。园林水果产量26666.54吨，增长2.7%。食用坚果产量76.13吨，下降3.6%。</w:t>
      </w:r>
    </w:p>
    <w:p w14:paraId="064419A8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年猪出栏676.19百头，比上年增长4.8%；牛出栏29.18百头，增长2.2%；羊出栏206.45百只，增长7.7%；活家禽出栏17109.78百只，增长1.9%。猪牛羊禽肉产量8092.26吨，增长8.0%。禽蛋产量4726.58吨，增长3.7%。生牛奶产量3475.75吨，下降3.3%。</w:t>
      </w:r>
    </w:p>
    <w:p w14:paraId="116F7202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全年水产品产量3345吨，比上年下降0.2%。其中，海水产品产量3345吨，下降0.2%。</w:t>
      </w:r>
    </w:p>
    <w:p w14:paraId="4972FFCC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全年农业产业化经营率为78.83%，比上年增长1.09个百分点。</w:t>
      </w:r>
    </w:p>
    <w:p w14:paraId="5D148177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工业和建筑业</w:t>
      </w:r>
    </w:p>
    <w:p w14:paraId="59938454">
      <w:pPr>
        <w:spacing w:line="600" w:lineRule="exact"/>
        <w:ind w:firstLine="640" w:firstLineChars="200"/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全年实现全部工业增加值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274089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万元，比上年增长4.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3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%。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其中，规模以上工业增加值增长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4.8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%。</w:t>
      </w:r>
    </w:p>
    <w:p w14:paraId="2DAF4BF8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规模以上工业中，从经济类型看，国有控股企业增加值增长6.6%，股份制企业增加值增长6.9%，外商及港澳台企业增加值下降19.2%。从主要行业看，农副食品加工业增加值增长3.1%，食品制造业增加值下降9.1%，黑色金属冶炼和压延加工业增加值增长87.5%，医药制造业增加值增长3.6%，专用设备制造业增加值下降13.4%，通用设备制造业增加值增长17.5%，铁路运输设备制造业增加值增长1.4%，金属制品业增加值增长7.2%。</w:t>
      </w:r>
    </w:p>
    <w:p w14:paraId="58C905B7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规模以上工业企业实现利润总额69759万元，比上年增长0.02%。分经济类型看，国有控股企业实现利润总额29235万元，增长17.7%；股份制企业实现利润总额59243万元，增长13.7%；外商及港澳台商控股企业实现利润总额10516万元，下降40.4%。从主要行业看，农副食品加工业实现利润总额-1908万元，上年同期679万元；食品制造业实现利润总额2784万元，增长55.7%；黑色金属冶炼和压延加工业实现利润总额552万元，上年同期-797万元；医药制造业实现利润总额17956万元，增长9.9%；专用设备制造业实现利润总额1832万元，下降9.0%；铁路运输设备制造业实现利润总额44168万元，下降7.2%；金属制品业实现利润总额139万元，下降56.8%。</w:t>
      </w:r>
    </w:p>
    <w:p w14:paraId="79002539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全年实现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建筑业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35357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万元，比上年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下降13.2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%。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全区有总承包和专业承包资质的建筑业企业5家，实现总产值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9426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万元，比上年增长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16.2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%。房屋建筑施工面积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17.25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万平方米，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增长4倍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；房屋建筑竣工面积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3.69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万平方米，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增长82.7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%。</w:t>
      </w:r>
    </w:p>
    <w:p w14:paraId="15DBE40E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服务业</w:t>
      </w:r>
    </w:p>
    <w:p w14:paraId="10C424D6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全年服务业增加值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548092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万元，比上年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增长9.5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%。其中，批发和零售业增加值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26521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21.2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%；交通运输、仓储和邮政业增加值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226945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增长11.5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%；住宿和餐饮业增加值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20264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增长10.3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%；金融业增加值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48941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6.0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%；房地产业增加值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40818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0.6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%；其他服务业增加值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180277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增长8.8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%（其中，营利性服务业增加值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34888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32.9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%；非营利性服务业增加值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145389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万元，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增长3.8</w:t>
      </w:r>
      <w:r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%）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  <w:t>。</w:t>
      </w:r>
    </w:p>
    <w:p w14:paraId="751E8C42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全年规模以上服务业实现营业收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入56861万元，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比上年下降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14.71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%。共涉及8个行业。分行业看，交通运输仓储和邮政业同比下降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96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%，房地产业下降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%、科学研究和技术服务增长25%、水利环境和公共设施管理业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下降26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%、居民服务修理和其他服务业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下降23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%、教育行业增长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29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%、卫生和社会工作下降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%、文化体育和娱乐业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增长198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%。</w:t>
      </w:r>
    </w:p>
    <w:p w14:paraId="61D13196">
      <w:pPr>
        <w:spacing w:line="600" w:lineRule="exact"/>
        <w:ind w:firstLine="640" w:firstLineChars="200"/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</w:rPr>
        <w:t>全区公路里程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</w:rPr>
        <w:t>289.948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</w:rPr>
        <w:t>公里，其中高速公路24.525公里，国省干线公路42.971公里，农村公路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</w:rPr>
        <w:t>205.252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</w:rPr>
        <w:t>公里，旅游专用路17.2公里。</w:t>
      </w:r>
    </w:p>
    <w:p w14:paraId="7923EC6F">
      <w:pPr>
        <w:spacing w:line="600" w:lineRule="exact"/>
        <w:ind w:firstLine="640" w:firstLineChars="200"/>
        <w:rPr>
          <w:rFonts w:hint="eastAsia"/>
          <w:lang w:eastAsia="zh-CN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移动、联通、电信三家公司实现通讯业务收入1.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53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亿元，年末固定电话用户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0.95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万户，移动电话用户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24.61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万户，互联网宽带接入户数9.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65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万户。</w:t>
      </w:r>
    </w:p>
    <w:p w14:paraId="6C3C25E0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国内贸易</w:t>
      </w:r>
    </w:p>
    <w:p w14:paraId="3A6F0167">
      <w:pPr>
        <w:spacing w:line="600" w:lineRule="exact"/>
        <w:ind w:firstLine="640" w:firstLineChars="200"/>
        <w:rPr>
          <w:rFonts w:hint="default"/>
          <w:lang w:val="en-US" w:eastAsia="zh-CN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全年实现社会消费品零售总额完成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244955.5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万元，同比增长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12.6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%。其中，限额以上单位消费品零售额累计完成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38052.6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万元，同比增长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49.0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%。按消费形态分，商品零售实现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231723.9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12.6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%；餐饮收入实现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13231.6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11.8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%。按销售单位所在地分，城镇市场社会消费品零售额完成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214472.8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10.3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%。乡村较为活跃，社会消费品零售额完成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30482.7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31.8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</w:t>
      </w:r>
    </w:p>
    <w:p w14:paraId="43E26A16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固定资产投资</w:t>
      </w:r>
    </w:p>
    <w:p w14:paraId="22E642DA">
      <w:pPr>
        <w:spacing w:line="600" w:lineRule="exact"/>
        <w:ind w:firstLine="640" w:firstLineChars="200"/>
        <w:rPr>
          <w:rFonts w:hint="default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全年固定资产投资（不含农户）比上年增长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2.5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%。按三次产业分，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第一产业投资同比增长23.3%，占固定资产投资总量的比重为0.9%；第二产业完成投资同比增长112.0%，占固定资产投资总量的比重为36.3%；第三产业完成投资同比下降21.2%，占固定资产投资总量的比重为62.8%。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从投资类型看，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建设项目投资同比增长14.7%，占固定资产投资总额的67.2%；房地产开发投资同比下降15.8%，占固定资产投资总额的32.8%。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从重点领域看，工业投资增长112%，工业技改投资同比下降44.5%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。</w:t>
      </w:r>
    </w:p>
    <w:p w14:paraId="5EF63AB8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对外经济</w:t>
      </w:r>
    </w:p>
    <w:p w14:paraId="38FA2608">
      <w:pPr>
        <w:spacing w:line="600" w:lineRule="exact"/>
        <w:ind w:firstLine="640" w:firstLineChars="200"/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全年全区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进出口总额54865万元，比上年增长30.88%。其中，进口额13250万元，比上年增长18.92%。出口额41615万元，比上年增长35.21%。</w:t>
      </w:r>
    </w:p>
    <w:p w14:paraId="37E612F3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八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财政税收</w:t>
      </w:r>
    </w:p>
    <w:p w14:paraId="57D95107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其中一般公共预算收入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85605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6.6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%。一般公共预算收入中，税收收入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36602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万元，同比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增长35.4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%。一般公共预算支出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133142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万元，同比增长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5.4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%。</w:t>
      </w:r>
    </w:p>
    <w:p w14:paraId="0F11AB35">
      <w:pPr>
        <w:spacing w:line="600" w:lineRule="exact"/>
        <w:ind w:firstLine="640" w:firstLineChars="200"/>
        <w:rPr>
          <w:rFonts w:hint="default" w:eastAsia="仿宋_GB2312"/>
          <w:highlight w:val="none"/>
          <w:lang w:val="en-US" w:eastAsia="zh-CN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全区完成税收收入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80623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万元。分税种情况看，完成国内增值税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42104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万元，国内消费税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72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万元，企业所得税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13834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万元，个人所得税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7090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万元，资源税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659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万元，城市维护建设税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2573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万元，房产税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2309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万元，印花税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1182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万元，城镇土地使用税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4376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万元，土地增值税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738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万元，车船税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1479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万元，契税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3681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万元，环境保护税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39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万元。</w:t>
      </w:r>
    </w:p>
    <w:p w14:paraId="5A8A97DD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居民收入和社会保障</w:t>
      </w:r>
    </w:p>
    <w:p w14:paraId="16136B3D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全年城镇居民人均可支配收入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43847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元，比上年增长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4.8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%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。</w:t>
      </w:r>
    </w:p>
    <w:p w14:paraId="487FC81C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全年城镇职工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基本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养老保险参保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37306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人，城乡居民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基本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养老保险参保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32404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人。全年城镇职工医疗保险参保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27631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人，城乡居民基本医疗保险参保67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006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人。全年生育保险参保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17755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人。全年失业保险参保14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540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</w:t>
      </w:r>
    </w:p>
    <w:p w14:paraId="454D6D0C">
      <w:pPr>
        <w:pStyle w:val="9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全年最低生活保障51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0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人。其中，城镇居民最低生活保障3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09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人，农村居民最低生活保障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201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</w:t>
      </w:r>
    </w:p>
    <w:p w14:paraId="0D997F75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教育和科学技术</w:t>
      </w:r>
    </w:p>
    <w:p w14:paraId="7E69AA01">
      <w:pPr>
        <w:spacing w:line="600" w:lineRule="exact"/>
        <w:ind w:firstLine="640" w:firstLineChars="200"/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教育事业优先发展。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办学条件持续改善，新扩建学校2所，投入100余万加强校园基础设施建设。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年末我区共有公办小学10所，其中城市小学7所，农村小学3所，小学现有教职工78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人，专任教师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678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人，在校生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8430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人，本年招生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1330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人，本年毕业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1322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人。年末共有公办初级中学4所，初级中学现有教职工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384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人，专任教师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347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名，在校生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2908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名，本年招生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1062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人，本年毕业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1062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人。年末共有公办高级中学2所，其中山一中现有教职工138人，专任教师116名，在校生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1305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人，本年招生442人，本年毕业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437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人；秦皇岛职业技术学校现有教职工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99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人，专任教师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94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名，在校生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996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人，本年招生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520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人，本年毕业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298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</w:t>
      </w:r>
    </w:p>
    <w:p w14:paraId="715E4111">
      <w:pPr>
        <w:spacing w:line="600" w:lineRule="exact"/>
        <w:ind w:firstLine="640" w:firstLineChars="200"/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科学技术创新发展。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全区国家级科技型中小企业入库36家，高新技术企业新认定3家，新增省级科技型中小企业12家，获批省专精特新中小企业4家。核诚镍业获批国家级专精特新“小巨人”企业。</w:t>
      </w:r>
    </w:p>
    <w:p w14:paraId="46D0B7FD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十一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文化旅游、卫生健康和体育</w:t>
      </w:r>
    </w:p>
    <w:p w14:paraId="0CDFF61A">
      <w:pPr>
        <w:spacing w:line="60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文化事业健康开展。年末全区拥有公共图书馆1个，建筑面积4679平方米，总藏书量16.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79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万册，全年借阅人次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8.16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万人次；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</w:rPr>
        <w:t>档案馆1座，建筑面积1200平方米，馆藏档案58973卷，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</w:rPr>
        <w:t>96470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</w:rPr>
        <w:t>件。利用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</w:rPr>
        <w:t>423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</w:rPr>
        <w:t>人次，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</w:rPr>
        <w:t>1739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</w:rPr>
        <w:t>卷次；文物保护单位50处；文化馆1个，文化站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/>
        </w:rPr>
        <w:t>3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</w:rPr>
        <w:t>个，村（社区）文化服务中心1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/>
        </w:rPr>
        <w:t>10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</w:rPr>
        <w:t>个；网吧5个，歌舞厅、练歌房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/>
        </w:rPr>
        <w:t>5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</w:rPr>
        <w:t>个。</w:t>
      </w:r>
    </w:p>
    <w:p w14:paraId="24F27180">
      <w:pPr>
        <w:spacing w:line="600" w:lineRule="exact"/>
        <w:ind w:firstLine="640" w:firstLineChars="200"/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全年接待游客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861.64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万人次，较上年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增长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379.1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%；实现旅游门票收入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27064.52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万元，较上年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增长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471.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%。</w:t>
      </w:r>
    </w:p>
    <w:p w14:paraId="0AE5FFB0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卫生健康持续推进。年末全区医疗卫生机构实有床位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973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张，实有职工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1916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，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其中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专业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技术人员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1649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其中，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初级职称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909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人，中级职称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518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人，高级职称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222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</w:t>
      </w:r>
    </w:p>
    <w:p w14:paraId="1770EA0A">
      <w:pPr>
        <w:spacing w:line="600" w:lineRule="exact"/>
        <w:ind w:firstLine="640" w:firstLineChars="200"/>
        <w:rPr>
          <w:rFonts w:hint="default"/>
          <w:lang w:val="en-US"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体育事业成绩突出。全区共有体育工作人员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9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人，其中专职教练员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人。现有少年儿童业余体校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所，在校生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300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名，专职教练员5人。体育系统举办各类运动会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59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场次，1.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万人直接参与。运动员在省级比赛中夺得金牌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21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枚、银牌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13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枚、铜牌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8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枚，在市级比赛中夺得金牌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38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枚、银牌1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5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枚、铜牌1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val="en-US" w:eastAsia="zh-CN" w:bidi="ar-SA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bdr w:val="single" w:color="FFFFFF" w:sz="4" w:space="0"/>
          <w:lang w:bidi="ar-SA"/>
        </w:rPr>
        <w:t>枚。</w:t>
      </w:r>
    </w:p>
    <w:p w14:paraId="7655EC79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</w:p>
    <w:p w14:paraId="3FD952DB">
      <w:pPr>
        <w:pStyle w:val="9"/>
        <w:widowControl/>
        <w:shd w:val="clear" w:color="auto" w:fill="FFFFFF"/>
        <w:spacing w:before="156" w:beforeLines="50" w:beforeAutospacing="0" w:after="156" w:afterLines="50" w:afterAutospacing="0" w:line="600" w:lineRule="exact"/>
        <w:ind w:left="0"/>
        <w:jc w:val="center"/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十二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  <w:t>、</w:t>
      </w:r>
      <w:r>
        <w:rPr>
          <w:rFonts w:hint="eastAsia" w:ascii="黑体" w:eastAsia="黑体"/>
          <w:b/>
          <w:bCs/>
          <w:color w:val="000000"/>
          <w:sz w:val="32"/>
          <w:szCs w:val="32"/>
          <w:highlight w:val="none"/>
          <w:bdr w:val="single" w:color="FFFFFF" w:sz="4" w:space="0"/>
          <w:lang w:bidi="ar-SA"/>
        </w:rPr>
        <w:t>婚姻优抚和环境质量</w:t>
      </w:r>
    </w:p>
    <w:p w14:paraId="2106F95D">
      <w:pPr>
        <w:spacing w:line="600" w:lineRule="exact"/>
        <w:ind w:firstLine="640" w:firstLineChars="200"/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婚姻状况总体平稳。全年婚姻登记结婚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786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对，其中初婚人数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770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人、再婚人数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582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人。全年离婚登记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320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对。</w:t>
      </w:r>
    </w:p>
    <w:p w14:paraId="0860BC45">
      <w:pPr>
        <w:spacing w:line="600" w:lineRule="exact"/>
        <w:ind w:firstLine="640" w:firstLineChars="200"/>
        <w:rPr>
          <w:rFonts w:hint="default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双拥优抚能力有效提升。全区共有优抚对象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717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人，其中残疾人员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58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人，三属人员7人，两参人员44人，在乡复员军1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4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人，带病回乡退伍军人1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人，60周岁以上农村籍贯退伍士兵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572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人，60周岁以上烈士老年子女7人。服兵役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33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人。享受残疾抚恤金5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8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人，享受定期抚恤金7人，享受生活补助金6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52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人。优待优抚对象148户，优待总金额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823.2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万元，其中义务兵优待金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136.9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万元。</w:t>
      </w:r>
    </w:p>
    <w:p w14:paraId="7CE607E2">
      <w:pPr>
        <w:spacing w:line="600" w:lineRule="exact"/>
        <w:ind w:firstLine="640" w:firstLineChars="200"/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生态安全统筹发展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。PM2.5平均浓度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32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微克/立方米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eastAsia="zh-CN" w:bidi="ar-SA"/>
        </w:rPr>
        <w:t>，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强化重点涉水企业污染治理，加强23个入河入海排污口排查整治，石河入海口断面水质达到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bidi="ar-SA"/>
        </w:rPr>
        <w:t>III类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  <w:t>标准，潮河橡胶坝上断面水质达到Ⅳ类标准，近岸海域达到Ⅰ类水质。石河获评省五星级幸福河湖、全省典型示范河湖。全年，全社会能源消费总量32.4万吨标准煤，比上年增长2.2%;单位GDP能耗0.3595吨标准煤/万元，比上年下降3.46%。</w:t>
      </w:r>
    </w:p>
    <w:p w14:paraId="546CC365">
      <w:pPr>
        <w:pStyle w:val="8"/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</w:p>
    <w:p w14:paraId="1EADADBF">
      <w:pP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</w:p>
    <w:p w14:paraId="5001B2F4">
      <w:pPr>
        <w:pStyle w:val="8"/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  <w:bdr w:val="single" w:color="FFFFFF" w:sz="4" w:space="0"/>
          <w:lang w:val="en-US" w:eastAsia="zh-CN" w:bidi="ar-SA"/>
        </w:rPr>
      </w:pPr>
    </w:p>
    <w:p w14:paraId="27E7DA29">
      <w:pPr>
        <w:pStyle w:val="8"/>
        <w:rPr>
          <w:rFonts w:hint="eastAsia"/>
          <w:highlight w:val="none"/>
        </w:rPr>
      </w:pPr>
    </w:p>
    <w:p w14:paraId="211C9454">
      <w:pPr>
        <w:rPr>
          <w:rFonts w:hint="eastAsia"/>
          <w:highlight w:val="none"/>
        </w:rPr>
      </w:pPr>
    </w:p>
    <w:p w14:paraId="66401120">
      <w:pPr>
        <w:pStyle w:val="2"/>
        <w:rPr>
          <w:rFonts w:hint="eastAsia"/>
          <w:highlight w:val="none"/>
        </w:rPr>
      </w:pPr>
    </w:p>
    <w:p w14:paraId="71DE5CFD">
      <w:pPr>
        <w:rPr>
          <w:rFonts w:hint="eastAsia"/>
        </w:rPr>
      </w:pPr>
    </w:p>
    <w:p w14:paraId="1398529C">
      <w:pPr>
        <w:spacing w:line="600" w:lineRule="exact"/>
        <w:ind w:firstLine="562" w:firstLineChars="200"/>
        <w:rPr>
          <w:rFonts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注释：</w:t>
      </w:r>
    </w:p>
    <w:p w14:paraId="620F8217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[1]本公报</w:t>
      </w:r>
      <w:r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</w:rPr>
        <w:t>202</w:t>
      </w:r>
      <w:r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val="en-US" w:eastAsia="zh-CN"/>
        </w:rPr>
        <w:t>3</w:t>
      </w:r>
      <w:r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</w:rPr>
        <w:t>年部</w:t>
      </w:r>
      <w:r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分数据为快报统计数据。</w:t>
      </w:r>
    </w:p>
    <w:p w14:paraId="682D0119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[2]公报中部分数据来源于相关部门。</w:t>
      </w:r>
    </w:p>
    <w:p w14:paraId="3D54D4C2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[3]地区生产总值、各产业增加值绝对值按当年价格计算，增长速度按可比价格计算。</w:t>
      </w:r>
    </w:p>
    <w:p w14:paraId="7CAC4E77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[4]按照我国地区生产总值统一核算和数据发布制度规定，地区生产总值核算包括初步核算和最终核实两个步骤。最终核实数据确定后，初步核算数据不再使用。</w:t>
      </w:r>
    </w:p>
    <w:p w14:paraId="755DA3AC">
      <w:pPr>
        <w:spacing w:line="600" w:lineRule="exact"/>
        <w:ind w:firstLine="562" w:firstLineChars="200"/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</w:rPr>
      </w:pPr>
      <w:r>
        <w:rPr>
          <w:rFonts w:hint="eastAsia" w:eastAsia="楷体_GB2312" w:cs="楷体_GB2312"/>
          <w:b/>
          <w:bCs/>
          <w:color w:val="000000"/>
          <w:sz w:val="28"/>
          <w:szCs w:val="28"/>
          <w:highlight w:val="none"/>
          <w:bdr w:val="single" w:color="FFFFFF" w:sz="4" w:space="0"/>
          <w:lang w:bidi="ar-SA"/>
        </w:rPr>
        <w:t>[5]部分数据合计数或相对数由于单位取舍不同而产生的计算误差，均未作机械调整。</w:t>
      </w:r>
    </w:p>
    <w:sectPr>
      <w:headerReference r:id="rId3" w:type="default"/>
      <w:footerReference r:id="rId4" w:type="default"/>
      <w:pgSz w:w="11906" w:h="16838"/>
      <w:pgMar w:top="1440" w:right="1701" w:bottom="1440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3AB18">
    <w:pPr>
      <w:pStyle w:val="6"/>
    </w:pP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8255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B61A3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6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pYFbK9IAAAAGAQAADwAAAAAAAAABACAAAAAiAAAAZHJzL2Rvd25yZXYueG1sUEsB&#10;AhQAFAAAAAgAh07iQJu61xDCAQAAjQMAAA4AAAAAAAAAAQAgAAAAI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5B61A3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1916A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rsids>
    <w:rsidRoot w:val="00000000"/>
    <w:rsid w:val="017231CA"/>
    <w:rsid w:val="0B2A4A9B"/>
    <w:rsid w:val="0E30376D"/>
    <w:rsid w:val="0E6B6907"/>
    <w:rsid w:val="137145D8"/>
    <w:rsid w:val="1FBF76DE"/>
    <w:rsid w:val="274C5087"/>
    <w:rsid w:val="40D278B8"/>
    <w:rsid w:val="45535E84"/>
    <w:rsid w:val="4B3876F6"/>
    <w:rsid w:val="4C5B7B68"/>
    <w:rsid w:val="561C270B"/>
    <w:rsid w:val="5BC52DBE"/>
    <w:rsid w:val="63D1197B"/>
    <w:rsid w:val="65AA22B9"/>
    <w:rsid w:val="66935628"/>
    <w:rsid w:val="707C556B"/>
    <w:rsid w:val="746619E1"/>
    <w:rsid w:val="7C3B04DD"/>
    <w:rsid w:val="7F754BB9"/>
    <w:rsid w:val="FDEBAA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index 7"/>
    <w:basedOn w:val="1"/>
    <w:next w:val="1"/>
    <w:qFormat/>
    <w:uiPriority w:val="0"/>
    <w:pPr>
      <w:ind w:left="2520"/>
    </w:pPr>
  </w:style>
  <w:style w:type="paragraph" w:styleId="9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10</Pages>
  <Words>4283</Words>
  <Characters>5429</Characters>
  <Lines>2</Lines>
  <Paragraphs>0</Paragraphs>
  <TotalTime>12</TotalTime>
  <ScaleCrop>false</ScaleCrop>
  <LinksUpToDate>false</LinksUpToDate>
  <CharactersWithSpaces>5434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2023-04-07T17:40:00Z</dcterms:created>
  <dc:creator>ASUS</dc:creator>
  <cp:lastModifiedBy>iFLYTEK</cp:lastModifiedBy>
  <cp:lastPrinted>2024-04-25T15:26:00Z</cp:lastPrinted>
  <dcterms:modified xsi:type="dcterms:W3CDTF">2026-06-25T11:03:05Z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C30E2EAA6A5C9E5E699A3C6A21FA5285_43</vt:lpwstr>
  </property>
</Properties>
</file>