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44A7A">
      <w:pPr>
        <w:spacing w:line="600" w:lineRule="exact"/>
        <w:ind w:left="0"/>
        <w:jc w:val="center"/>
        <w:rPr>
          <w:rFonts w:hint="eastAsia" w:ascii="方正小标宋_GBK" w:eastAsia="方正小标宋_GBK" w:cs="宋体"/>
          <w:color w:val="000000"/>
          <w:spacing w:val="8"/>
          <w:sz w:val="44"/>
          <w:szCs w:val="44"/>
          <w:bdr w:val="single" w:color="FFFFFF" w:sz="4" w:space="0"/>
        </w:rPr>
      </w:pPr>
      <w:bookmarkStart w:id="0" w:name="_GoBack"/>
      <w:r>
        <w:rPr>
          <w:rFonts w:hint="eastAsia" w:ascii="方正小标宋_GBK" w:eastAsia="方正小标宋_GBK" w:cs="宋体"/>
          <w:color w:val="000000"/>
          <w:spacing w:val="8"/>
          <w:sz w:val="44"/>
          <w:szCs w:val="44"/>
          <w:bdr w:val="single" w:color="FFFFFF" w:sz="4" w:space="0"/>
          <w:lang w:bidi="ar-SA"/>
        </w:rPr>
        <w:t>山海关区</w:t>
      </w:r>
      <w:r>
        <w:rPr>
          <w:rFonts w:hint="eastAsia" w:ascii="方正小标宋_GBK" w:eastAsia="方正小标宋_GBK" w:cs="宋体"/>
          <w:color w:val="000000"/>
          <w:spacing w:val="8"/>
          <w:sz w:val="44"/>
          <w:szCs w:val="44"/>
          <w:bdr w:val="single" w:color="FFFFFF" w:sz="4" w:space="0"/>
        </w:rPr>
        <w:t>2022年</w:t>
      </w:r>
    </w:p>
    <w:p w14:paraId="52611C85">
      <w:pPr>
        <w:spacing w:line="600" w:lineRule="exact"/>
        <w:ind w:left="0"/>
        <w:jc w:val="center"/>
        <w:rPr>
          <w:rFonts w:hint="eastAsia" w:ascii="方正小标宋_GBK" w:eastAsia="方正小标宋_GBK" w:cs="宋体"/>
          <w:color w:val="000000"/>
          <w:spacing w:val="8"/>
          <w:sz w:val="44"/>
          <w:szCs w:val="44"/>
          <w:bdr w:val="single" w:color="FFFFFF" w:sz="4" w:space="0"/>
          <w:lang w:bidi="ar-SA"/>
        </w:rPr>
      </w:pPr>
      <w:r>
        <w:rPr>
          <w:rFonts w:hint="eastAsia" w:ascii="方正小标宋_GBK" w:eastAsia="方正小标宋_GBK" w:cs="宋体"/>
          <w:color w:val="000000"/>
          <w:spacing w:val="8"/>
          <w:sz w:val="44"/>
          <w:szCs w:val="44"/>
          <w:bdr w:val="single" w:color="FFFFFF" w:sz="4" w:space="0"/>
        </w:rPr>
        <w:t>国民</w:t>
      </w:r>
      <w:r>
        <w:rPr>
          <w:rFonts w:hint="eastAsia" w:ascii="方正小标宋_GBK" w:eastAsia="方正小标宋_GBK" w:cs="宋体"/>
          <w:color w:val="000000"/>
          <w:spacing w:val="8"/>
          <w:sz w:val="44"/>
          <w:szCs w:val="44"/>
          <w:bdr w:val="single" w:color="FFFFFF" w:sz="4" w:space="0"/>
          <w:lang w:bidi="ar-SA"/>
        </w:rPr>
        <w:t>经济和社会发展统计公报</w:t>
      </w:r>
    </w:p>
    <w:bookmarkEnd w:id="0"/>
    <w:p w14:paraId="39046BCD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</w:p>
    <w:p w14:paraId="6EFFE1B1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2022年是充满艰辛、充满挑战，同时富有转机、饱有希望的一年，面对复杂严峻的经济发展环境和国内疫情散发等多重考验，在区委、区政府的坚强领导下，全区上下紧盯全年目标任务，难中求进、干中求进、变中求进、稳中求进，科学统筹常态化疫情防控和经济社会发展，聚焦“建设国际一流旅游城市先行区”目标，经济持续强韧发展，改革创新深入推进，民生保障有力有效，推进新发展格局迈进新征程。</w:t>
      </w:r>
    </w:p>
    <w:p w14:paraId="5B477FEF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一、综  合</w:t>
      </w:r>
    </w:p>
    <w:p w14:paraId="061F0015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初步核算，全年实现地区生产总值（GDP）895703万元，按可比价格计算，比上年增长2.7%。分产业看，第一产业增加值99075万元，增长3.9%；第二产业增加值322872万元，增长6.8%；第三产业增加值473757万元，下降0.1%。一、二、三产业对经济增长的贡献率分别为18.1%、83.7%和-1.8%，三次产业构成比重为11.1:36:52.9。</w:t>
      </w:r>
    </w:p>
    <w:p w14:paraId="327DD1FC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2022年民营经济实现增加值558713万元，比上年增长2.4%，占全区生产总值的比重为62.4%。</w:t>
      </w:r>
    </w:p>
    <w:p w14:paraId="1B6512AA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年末全区户籍总户数50801户，户籍总人口125862人。其中，男性61532人，女性64330人；户籍城镇人口115783人，户籍农村人口10079人。全年户籍报出生485人，出生率3.84‰；户籍报死亡1193人，死亡率9.44‰，人口自然增长率-5.6‰。</w:t>
      </w:r>
    </w:p>
    <w:p w14:paraId="143C0624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年末全区常住人口161587人，常住城镇人口151569人，常住人口城镇化率93.8%。</w:t>
      </w:r>
    </w:p>
    <w:p w14:paraId="1CA893E6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全年新增就业4952人，城镇调查失业率控制在5.5%以内。</w:t>
      </w:r>
    </w:p>
    <w:p w14:paraId="34310FF2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二、农  业</w:t>
      </w:r>
    </w:p>
    <w:p w14:paraId="72C93ADB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实现农林牧渔业增加值102266万元，比上年增长4.0%。实现农林牧渔业总产值154947万元，比上年增长3.8%。其中，农业产值83611万元，同比增长0.7%；林业产值276万元，同比下降16.6%；牧业产值43529万元，同比增长5.9%；渔业产值22039万元，同比增长11.5%；农林牧渔服务业产值5492万元，同比增长4.8%。</w:t>
      </w:r>
    </w:p>
    <w:p w14:paraId="6B337C3D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粮食作物播种面积8750.63亩，增长0.85%；粮食总产量3079.44吨，增长0.83%。其中，夏粮产量1040.56吨，与上年持平；秋粮产量2038.88吨，增长1.3%。豆类播种面积2214.47亩，与上年基本持平；豆类产量402.04吨，下降1.1%。薯类播种面积5116.55亩，增长0.72%；鲜薯产量10188.58吨，下降0.13%。</w:t>
      </w:r>
    </w:p>
    <w:p w14:paraId="33A7E28E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全年蔬菜及食用菌播种面积2586.07公顷，比上年增长0.48%；蔬菜及食用菌产量174181.89吨，增长0.6%。园林水果产量25959.27吨，增长6.3%。食用坚果产量78.95吨，下降3.5%。</w:t>
      </w:r>
    </w:p>
    <w:p w14:paraId="13771DF8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猪出栏645.22百头，比上年增长0.83%；牛出栏28.56百头，下降0.73%；羊出栏191.75百只，增长9.2%；活家禽出栏16786.82百只，下降0.36%。猪牛羊禽肉产量7489.97吨，增长2.0%。禽蛋产量4558.78吨，增长11.1%。生牛奶产量3594.27吨，增长11.51%。</w:t>
      </w:r>
    </w:p>
    <w:p w14:paraId="1EB93DC0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全年水产品产量3352吨，比上年增长7.4%。其中，海水产品产量3352吨，增长7.4%。</w:t>
      </w:r>
    </w:p>
    <w:p w14:paraId="0644E656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全年农业产业化经营率为77.74%。</w:t>
      </w:r>
    </w:p>
    <w:p w14:paraId="78DCA059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三、工业和建筑业</w:t>
      </w:r>
    </w:p>
    <w:p w14:paraId="42A923FA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全年实现全部工业增加值278547万元，比上年增长4.7%。其中，规模以上工业增加值增长4.2%。</w:t>
      </w:r>
    </w:p>
    <w:p w14:paraId="183A7A54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shd w:val="solid" w:color="FFFFFF" w:fill="FFFFFF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规模以上工业中，从经济类型看，国有控股企业增加值增长15.6%，股份制企业增加值增长10.3%，外商及港澳台企业增加值下降23.5%。从主要行业看，农副食品加工业增加值下降44.</w:t>
      </w: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shd w:val="solid" w:color="FFFFFF" w:fill="FFFFFF"/>
          <w:lang w:bidi="ar-SA"/>
        </w:rPr>
        <w:t>6%，食品制造业增加值下降17.2%，黑色金属冶炼和压延加工业增加值</w:t>
      </w:r>
      <w:r>
        <w:rPr>
          <w:rFonts w:hint="eastAsia" w:ascii="Times New Roman" w:hAnsi="Times New Roman" w:eastAsia="仿宋_GB2312"/>
          <w:color w:val="000000"/>
          <w:sz w:val="32"/>
          <w:szCs w:val="32"/>
          <w:bdr w:val="single" w:color="FFFFFF" w:sz="4" w:space="0"/>
          <w:shd w:val="solid" w:color="FFFFFF" w:fill="FFFFFF"/>
          <w:lang w:eastAsia="zh-CN" w:bidi="ar-SA"/>
        </w:rPr>
        <w:t>增长</w:t>
      </w: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shd w:val="solid" w:color="FFFFFF" w:fill="FFFFFF"/>
          <w:lang w:bidi="ar-SA"/>
        </w:rPr>
        <w:t>35.9%，医药制造业增加值增长37%，专用设备制造业增加值增长5.9%，通用设备制造业增加值增长17.9%，铁路运输设备制造业增加值增长</w:t>
      </w:r>
      <w:r>
        <w:rPr>
          <w:rFonts w:hint="eastAsia" w:ascii="Times New Roman" w:hAnsi="Times New Roman" w:eastAsia="仿宋_GB2312"/>
          <w:color w:val="000000"/>
          <w:sz w:val="32"/>
          <w:szCs w:val="32"/>
          <w:bdr w:val="single" w:color="FFFFFF" w:sz="4" w:space="0"/>
          <w:shd w:val="solid" w:color="FFFFFF" w:fill="FFFFFF"/>
          <w:lang w:val="en-US" w:eastAsia="zh-CN" w:bidi="ar-SA"/>
        </w:rPr>
        <w:t>5.4</w:t>
      </w: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shd w:val="solid" w:color="FFFFFF" w:fill="FFFFFF"/>
          <w:lang w:bidi="ar-SA"/>
        </w:rPr>
        <w:t>%，金属制品业增加值下降5.2%。</w:t>
      </w:r>
    </w:p>
    <w:p w14:paraId="05C91644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shd w:val="solid" w:color="FFFFFF" w:fill="FFFFFF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shd w:val="solid" w:color="FFFFFF" w:fill="FFFFFF"/>
          <w:lang w:bidi="ar-SA"/>
        </w:rPr>
        <w:t>规模以上工业企业实现利润总额69211万元，比上年下降11.0%。分经济类型看，国有控股企业实现利润总额24833万元，下降35.4%；股份制企业实现利润总额51565万元，下降7.5%；外商及港澳台商控股企业实现利润总额17646万元，下降19.9%。从主要行业看，农副食品加工业实现利润总额679万元，上年同期-1774万元；食品制造业实现利润总额1788万元，下降44.3%；黑色金属冶炼和压延加工业实现利润总额-797万元，上年同期-122万元；医药制造业实现利润总额16334万元，增长107.2%；专用设备制造业实现利润总额1870万元，下降5.9%；铁路运输设备制造业实现利润总额473</w:t>
      </w:r>
      <w:r>
        <w:rPr>
          <w:rFonts w:hint="eastAsia" w:ascii="Times New Roman" w:hAnsi="Times New Roman" w:eastAsia="仿宋_GB2312"/>
          <w:color w:val="000000"/>
          <w:sz w:val="32"/>
          <w:szCs w:val="32"/>
          <w:bdr w:val="single" w:color="FFFFFF" w:sz="4" w:space="0"/>
          <w:shd w:val="solid" w:color="FFFFFF" w:fill="FFFFFF"/>
          <w:lang w:val="en-US" w:eastAsia="zh-CN" w:bidi="ar-SA"/>
        </w:rPr>
        <w:t>14</w:t>
      </w: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shd w:val="solid" w:color="FFFFFF" w:fill="FFFFFF"/>
          <w:lang w:bidi="ar-SA"/>
        </w:rPr>
        <w:t>万元，下降25.4%；金属制品业实现利润总额214万元，增长46.2%。</w:t>
      </w:r>
    </w:p>
    <w:p w14:paraId="2EF88057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规模以上工业中，战略性新兴企业共计14家，增加值比上年增长10.9%。高新技术企业共计8家，增加值比上年增长28.1%，占规模以上工业增加值的比重为18.1%。</w:t>
      </w:r>
    </w:p>
    <w:p w14:paraId="02B35FD0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社会建筑业增加值44933万元，比上年增长19.3%。全区有总承包和专业承包资质的建筑业企业5家，实现总产值8111万元，比上年增长32.2%。资质等级以上建筑业企业房屋建筑施工面积3.02万平方米，下降14.9%；房屋建筑竣工面积2.02万平方米，下降23.5%。</w:t>
      </w:r>
    </w:p>
    <w:p w14:paraId="6E127B89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四、服务业</w:t>
      </w:r>
    </w:p>
    <w:p w14:paraId="5205A85E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</w:rPr>
        <w:t>全年服务业增加值473757万元，比上年下降0.1%。其中，批发和零售业增加值20646万元，增长12.6%；交通运输、仓储和邮政业增加值195307万元，下降0.6%；住宿和餐饮业增加值18425万元，下降8.1%；金融业增加值45332万元，增长9.5%；房地产业增加值40509万元，增长3.3%；其他服务业增加值149739万元，下降3.7%（其中，营利性服务业增加值23826万元，增长0%；非营利性服务业增加值125913万元，下降4.4%）。</w:t>
      </w:r>
    </w:p>
    <w:p w14:paraId="4B774328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规模以上服务业实现营业收入34933万元，比上年下降23.20%。共涉及8个行业。分行业看，交通运输仓储和邮政业同比下降69%，房地产业下降19%、科学研究和技术服务增长25%、水利环境和公共设施管理业增长0.4%、居民服务修理和其他服务业增长11%、教育行业增长33%、卫生和社会工作下降2%、文化体育和娱乐业下降21%。</w:t>
      </w:r>
    </w:p>
    <w:p w14:paraId="29580115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</w:rPr>
        <w:t>全区公路里程307.196公里，其中高速公路24.525公里，国省干线公路42.971公里，农村公路222.5公里，旅游专用路17.2公里。</w:t>
      </w:r>
    </w:p>
    <w:p w14:paraId="0B5F922F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移动、联通、电信三家公司实现通讯业务收入1.36亿元，年末固定电话用户1.95万户，移动电话用户23.4万户，互联网宽带接入户数9.21万户。</w:t>
      </w:r>
    </w:p>
    <w:p w14:paraId="1077B702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五、国内贸易</w:t>
      </w:r>
    </w:p>
    <w:p w14:paraId="3E4AC561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全年实现社会消费品零售总额完成217595.5万元，同比增长1.8%。其中，限额以上单位消费品零售额累计完成23538万元，同比增长31.4%。按消费形态分，商品零售实现204599万元，增长1.9%；餐饮收入实现12996.5万元，增长0.99%。按销售单位所在地分，城镇市场社会消费品零售额完成194203.9万元，增长1.4%。乡村较为活跃，社会消费品零售额完成23391.6万元，增长5.1%。</w:t>
      </w:r>
    </w:p>
    <w:p w14:paraId="28A06381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六、固定资产投资</w:t>
      </w:r>
    </w:p>
    <w:p w14:paraId="6BA7F8FB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全年固定资产投资（不含农户）比上年增长8.2%。按三次产业分，第一产业投资同比增长49.1%，占全部投资的比重为0.6%；第二产业投资同比增长20.4%，占全部投资的比重为27%；第三产业投资同比增长4%，占全部投资的比重为72.4%。从投资类型看，建设项目投资同比增长21.9%，房地产开发投资同比下降9.2%,工业投资同比增长17.6%，工业技改投资同比下降14.8%，高新技术产业投资同比增长281.3%。</w:t>
      </w:r>
    </w:p>
    <w:p w14:paraId="7BF4F8ED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七、对外经济</w:t>
      </w:r>
    </w:p>
    <w:p w14:paraId="7B6720FE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全年全区进出口总额45821万元，比上年增长14.74%。其中，进口额11142万元，比上年下降30.11%。出口额34679万元，比上年增长44.55%。</w:t>
      </w:r>
    </w:p>
    <w:p w14:paraId="0C927BC1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八、财政税收</w:t>
      </w:r>
    </w:p>
    <w:p w14:paraId="143CEFD0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其中一般公共预算收入80336万元，增长9.5%。一般公共预算收入中，税收收入27024万元，同比下降43.4%。一般公共预算支出126379万元，同比增长33.5%。一般公共预算支出中，七项重点支出87339万元，同比增长14.9%。</w:t>
      </w:r>
    </w:p>
    <w:p w14:paraId="3BA75EBD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全区完成税收收入52804万元，比上年下降33.9%。分税种情况看，完成国内增值税24728万元，国内消费税31万元，企业所得税9054万元，个人所得税3571万元，资源税612万元，城市维护建设税1986万元，房产税2338万元，印花税1270万元，城镇土地使用税5061万元，土地增值税132万元，车船税1342万元，契税2550万元，环境保护税46万元。</w:t>
      </w:r>
    </w:p>
    <w:p w14:paraId="600A4373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九、居民收入和社会保障</w:t>
      </w:r>
    </w:p>
    <w:p w14:paraId="2DBE4577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</w:rPr>
        <w:t>全年城镇居民人均可支配收入41839元，比上年增长3.6%；农村居民人均可支配收入26486元，比上年增长5.6%。城乡居民收入比为1.57，比上年（1.6）缩小0.03。</w:t>
      </w:r>
    </w:p>
    <w:p w14:paraId="7D817FA4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全年城镇职工养老保险参保35047人，城乡居民养老保险参保32922人。全年城镇职工基本医疗保险参保22692人，城乡居民基本医疗保险参保67084人。全年生育保险参保14129人。全年失业保险参保14254人。</w:t>
      </w:r>
    </w:p>
    <w:p w14:paraId="2E053D09">
      <w:pPr>
        <w:pStyle w:val="8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全年最低生活保障517人。其中，城镇居民最低生活保障319人，农村居民最低生活保障198人。</w:t>
      </w:r>
    </w:p>
    <w:p w14:paraId="32D4B03F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十、教育和科学技术</w:t>
      </w:r>
    </w:p>
    <w:p w14:paraId="1F10F755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教育事业优先发展。推进全省首批“义务教育优质均衡发展县（区）”创建，稳步推进“双减”工作，义务教育阶段课后托管服务率、覆盖率均达100%。年末我区共有公办小学10所，其中城市小学7所，农村小学3所，小学现有教职工789人，专任教师551人，在校生8393人，本年招生1270人，本年毕业1149人。年末共有公办初级中学4所，初级中学现有教职工394人，专任教师353名，在校生2899名，本年招生919人，本年毕业1066人。年末共有公办高级中学2所，其中山一中现有教职工138人，专任教师116名，在校生1326人，本年招生442人，本年毕业473人；秦皇岛职业技术学校现有教职工103人，专任教师98名，在校生833人，本年招生290人，本年毕业192人。</w:t>
      </w:r>
    </w:p>
    <w:p w14:paraId="3A5B43F1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科学技术创新发展。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全年新增规上工业企业3家、规上服务业企业3家、科技型中小企业14家、专精特新企业4家。华恒生物、雅豪新材料成功获评国家专精特新“小巨人”。</w:t>
      </w:r>
    </w:p>
    <w:p w14:paraId="439BCE5D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十一、文化旅游、卫生健康和体育</w:t>
      </w:r>
    </w:p>
    <w:p w14:paraId="357F70D8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文化事业健康开展。年末全区拥有公共图书馆1个，建筑面积4679平方米，总藏书量16.33万册，全年借阅人次3.55万人次；国有博物馆1座，文物库房面积300平方米，</w:t>
      </w: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</w:rPr>
        <w:t>陈列展览用房面积3600平方米，文物藏品及保管品1508件；档案馆1座，建筑面积1200平方米，馆藏档案58973卷，88187件。利用482人次，2118卷次；文物保护单位50处；文化馆1个，文化站7个，村（社区）文化服务中心109个；网吧5个，歌舞厅、练歌房4个。</w:t>
      </w:r>
    </w:p>
    <w:p w14:paraId="7A8D2819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全年接待游客175.13万人次，较上年下降37.8%；实现旅游门票收入4736.82万元，较上年下降39.63%。</w:t>
      </w:r>
    </w:p>
    <w:p w14:paraId="42FA283E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卫生健康持续推进。年末全区医疗卫生机构实有床位1004张，实有职工1658人</w:t>
      </w: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，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其中卫生技术人员1424人，卫生技术人员中初级职称769人，中级职称464人，高级职称191人。</w:t>
      </w:r>
    </w:p>
    <w:p w14:paraId="67B86E09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bdr w:val="single" w:color="FFFFFF" w:sz="4" w:space="0"/>
          <w:lang w:bidi="ar-SA"/>
        </w:rPr>
        <w:t>体育事业成绩突出。全区共有体育工作人员11人，其中专职教练员8人。现有少年儿童业余体校1所，在校生180名，专职教练员5人。体育系统举办各类运动会81场次，1.6万余人直接参与。运动员在省级比赛中夺得金牌16枚、银牌9枚、铜牌7枚，在市级比赛中夺得金牌22枚、银牌12枚、铜牌16枚。</w:t>
      </w:r>
    </w:p>
    <w:p w14:paraId="4362AC49">
      <w:pPr>
        <w:pStyle w:val="8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bdr w:val="single" w:color="FFFFFF" w:sz="4" w:space="0"/>
          <w:lang w:bidi="ar-SA"/>
        </w:rPr>
        <w:t>十二、婚姻优抚和环境质量</w:t>
      </w:r>
    </w:p>
    <w:p w14:paraId="7C5D3EFD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婚姻状况总体平稳。全年婚姻登记结婚640对，其中初婚人数875人、再婚人数405人。全年离婚登记253对。</w:t>
      </w:r>
    </w:p>
    <w:p w14:paraId="2B39AE84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双拥优抚能力有效提升。全区共有优抚对象693人，其中残疾人员57人，三属人员7人，两参人员44人，在乡复员军16人，带病回乡退伍军人16人，60周岁以上农村籍贯退伍士兵545人，60周岁以上烈士老年子女7人。服兵役50人。享受残疾抚恤金57人，享受定期抚恤金7人，享受生活补助金629人。优待优抚对象148户，优待总金额685.9万元，其中义务兵优待金174.3万元。</w:t>
      </w:r>
    </w:p>
    <w:p w14:paraId="3E21A7D4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bdr w:val="single" w:color="FFFFFF" w:sz="4" w:space="0"/>
          <w:lang w:bidi="ar-SA"/>
        </w:rPr>
        <w:t>环境质量日益向好。PM2.5平均浓度28微克/立方米，同比下降20%，空气质量为2015年纳入国家统一规范监测体系以来历史最优。持续推进石河生态防洪综合整治二期、潮河水环境综合治理等10项水利工程，完成投资5012万元。全面落实河长制，各级河长巡河超1.5万次，石河水质稳定达到III类及以上标准，潮河稳定达到V类及以上标准，达标率均为100%。全年，全社会能源消费总量31.7万吨标准煤，比上年下降0.97%;单位GDP能耗0.3772吨标准煤/万元，比上年下降3.53%。</w:t>
      </w:r>
    </w:p>
    <w:p w14:paraId="1A037F6F">
      <w:pPr>
        <w:spacing w:line="600" w:lineRule="exact"/>
        <w:ind w:firstLine="562" w:firstLineChars="200"/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  <w:t xml:space="preserve"> </w:t>
      </w:r>
    </w:p>
    <w:p w14:paraId="33C2207E">
      <w:pPr>
        <w:spacing w:line="600" w:lineRule="exact"/>
        <w:ind w:firstLine="562" w:firstLineChars="200"/>
        <w:rPr>
          <w:rFonts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</w:pPr>
    </w:p>
    <w:p w14:paraId="442B1530">
      <w:pPr>
        <w:pStyle w:val="2"/>
        <w:rPr>
          <w:rFonts w:hint="eastAsia"/>
        </w:rPr>
      </w:pPr>
    </w:p>
    <w:p w14:paraId="3A1B604A">
      <w:pPr>
        <w:spacing w:line="600" w:lineRule="exact"/>
        <w:ind w:firstLine="562" w:firstLineChars="200"/>
        <w:rPr>
          <w:rFonts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  <w:t>注释：</w:t>
      </w:r>
    </w:p>
    <w:p w14:paraId="44E1A908">
      <w:pPr>
        <w:spacing w:line="600" w:lineRule="exact"/>
        <w:ind w:firstLine="562" w:firstLineChars="200"/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  <w:t>[1]本公报</w:t>
      </w:r>
      <w:r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</w:rPr>
        <w:t>2022年部</w:t>
      </w:r>
      <w:r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  <w:t>分数据为快报统计数据。</w:t>
      </w:r>
    </w:p>
    <w:p w14:paraId="77156FB7">
      <w:pPr>
        <w:spacing w:line="600" w:lineRule="exact"/>
        <w:ind w:firstLine="562" w:firstLineChars="200"/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  <w:t>[2]公报中部分数据来源于相关部门。</w:t>
      </w:r>
    </w:p>
    <w:p w14:paraId="17DBDC3A">
      <w:pPr>
        <w:spacing w:line="600" w:lineRule="exact"/>
        <w:ind w:firstLine="562" w:firstLineChars="200"/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  <w:t>[3]地区生产总值、各产业增加值绝对值按当年价格计算，增长速度按可比价格计算。</w:t>
      </w:r>
    </w:p>
    <w:p w14:paraId="74BD89EE">
      <w:pPr>
        <w:spacing w:line="600" w:lineRule="exact"/>
        <w:ind w:firstLine="562" w:firstLineChars="200"/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  <w:t>[4]按照我国地区生产总值统一核算和数据发布制度规定，地区生产总值核算包括初步核算和最终核实两个步骤。最终核实数据确定后，初步核算数据不再使用。</w:t>
      </w:r>
    </w:p>
    <w:p w14:paraId="7E910080">
      <w:pPr>
        <w:spacing w:line="600" w:lineRule="exact"/>
        <w:ind w:firstLine="562" w:firstLineChars="200"/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bdr w:val="single" w:color="FFFFFF" w:sz="4" w:space="0"/>
          <w:lang w:bidi="ar-SA"/>
        </w:rPr>
        <w:t>[5]部分数据合计数或相对数由于单位取舍不同而产生的计算误差，均未作机械调整。</w:t>
      </w: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9E976">
    <w:pPr>
      <w:pStyle w:val="7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50" cy="13956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5AB5B4FF">
                          <w:pPr>
                            <w:pStyle w:val="7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1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UuvP1tAAAAACAQAADwAAAAAAAAABACAAAAAiAAAAZHJzL2Rvd25yZXYu&#10;eG1sUEsBAhQAFAAAAAgAh07iQLCqN8EDAgAA8wMAAA4AAAAAAAAAAQAgAAAAHwEAAGRycy9lMm9E&#10;b2MueG1sUEsFBgAAAAAGAAYAWQEAAJQ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5AB5B4FF">
                    <w:pPr>
                      <w:pStyle w:val="7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</w:compat>
  <w:rsids>
    <w:rsidRoot w:val="00000000"/>
    <w:rsid w:val="55EE12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7"/>
    <w:basedOn w:val="1"/>
    <w:next w:val="1"/>
    <w:autoRedefine/>
    <w:uiPriority w:val="0"/>
    <w:pPr>
      <w:ind w:left="2520"/>
    </w:pPr>
  </w:style>
  <w:style w:type="paragraph" w:styleId="6">
    <w:name w:val="index 5"/>
    <w:basedOn w:val="1"/>
    <w:next w:val="1"/>
    <w:autoRedefine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8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10</Pages>
  <Words>17</Words>
  <Characters>21</Characters>
  <Lines>2</Lines>
  <Paragraphs>0</Paragraphs>
  <TotalTime>37</TotalTime>
  <ScaleCrop>false</ScaleCrop>
  <LinksUpToDate>false</LinksUpToDate>
  <CharactersWithSpaces>21</CharactersWithSpaces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2023-04-07T17:40:00Z</dcterms:created>
  <dc:creator>ASUS</dc:creator>
  <cp:lastModifiedBy>iFLYTEK</cp:lastModifiedBy>
  <cp:lastPrinted>2023-04-07T17:48:00Z</cp:lastPrinted>
  <dcterms:modified xsi:type="dcterms:W3CDTF">2026-06-25T11:23:12Z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65E6859700CBA360209F3C6A2209BA52_43</vt:lpwstr>
  </property>
</Properties>
</file>