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748" w:type="dxa"/>
        <w:tblCellMar>
          <w:left w:w="0" w:type="dxa"/>
          <w:right w:w="0" w:type="dxa"/>
        </w:tblCellMar>
        <w:tblLook w:val="0000"/>
      </w:tblPr>
      <w:tblGrid>
        <w:gridCol w:w="244"/>
        <w:gridCol w:w="1128"/>
        <w:gridCol w:w="511"/>
        <w:gridCol w:w="301"/>
        <w:gridCol w:w="716"/>
        <w:gridCol w:w="1429"/>
        <w:gridCol w:w="284"/>
        <w:gridCol w:w="932"/>
        <w:gridCol w:w="270"/>
        <w:gridCol w:w="619"/>
        <w:gridCol w:w="2489"/>
        <w:gridCol w:w="2489"/>
        <w:gridCol w:w="2527"/>
        <w:gridCol w:w="243"/>
        <w:gridCol w:w="311"/>
        <w:gridCol w:w="243"/>
      </w:tblGrid>
      <w:tr w:rsidR="002514B4" w:rsidTr="004D1C5B">
        <w:trPr>
          <w:trHeight w:val="570"/>
        </w:trPr>
        <w:tc>
          <w:tcPr>
            <w:tcW w:w="0" w:type="auto"/>
            <w:gridSpan w:val="16"/>
            <w:tcBorders>
              <w:top w:val="nil"/>
              <w:left w:val="nil"/>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noProof/>
                <w:color w:val="000000"/>
                <w:kern w:val="0"/>
                <w:sz w:val="44"/>
                <w:szCs w:val="44"/>
              </w:rPr>
              <w:drawing>
                <wp:anchor distT="0" distB="0" distL="114300" distR="114300" simplePos="0" relativeHeight="251659264" behindDoc="0" locked="0" layoutInCell="1" allowOverlap="1">
                  <wp:simplePos x="0" y="0"/>
                  <wp:positionH relativeFrom="column">
                    <wp:posOffset>6924675</wp:posOffset>
                  </wp:positionH>
                  <wp:positionV relativeFrom="paragraph">
                    <wp:posOffset>0</wp:posOffset>
                  </wp:positionV>
                  <wp:extent cx="10160" cy="10160"/>
                  <wp:effectExtent l="0" t="0" r="0" b="0"/>
                  <wp:wrapNone/>
                  <wp:docPr id="1" name="图片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2"/>
                          <pic:cNvPicPr>
                            <a:picLocks noChangeArrowheads="1"/>
                          </pic:cNvPicPr>
                        </pic:nvPicPr>
                        <pic:blipFill>
                          <a:blip r:embed="rId7"/>
                          <a:srcRect/>
                          <a:stretch>
                            <a:fillRect/>
                          </a:stretch>
                        </pic:blipFill>
                        <pic:spPr bwMode="auto">
                          <a:xfrm>
                            <a:off x="0" y="0"/>
                            <a:ext cx="10160" cy="10160"/>
                          </a:xfrm>
                          <a:prstGeom prst="rect">
                            <a:avLst/>
                          </a:prstGeom>
                          <a:noFill/>
                          <a:ln w="9525">
                            <a:noFill/>
                            <a:miter lim="800000"/>
                            <a:headEnd/>
                            <a:tailEnd/>
                          </a:ln>
                        </pic:spPr>
                      </pic:pic>
                    </a:graphicData>
                  </a:graphic>
                </wp:anchor>
              </w:drawing>
            </w:r>
            <w:r>
              <w:rPr>
                <w:rStyle w:val="font51"/>
                <w:rFonts w:hint="default"/>
              </w:rPr>
              <w:t>秦皇岛市山海关区烟草专卖局行政处罚事项清单</w:t>
            </w:r>
          </w:p>
        </w:tc>
      </w:tr>
      <w:tr w:rsidR="002514B4" w:rsidTr="004D1C5B">
        <w:trPr>
          <w:trHeight w:val="270"/>
        </w:trPr>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序号</w:t>
            </w:r>
          </w:p>
        </w:tc>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kern w:val="0"/>
                <w:sz w:val="20"/>
                <w:szCs w:val="20"/>
              </w:rPr>
            </w:pPr>
            <w:r>
              <w:rPr>
                <w:rFonts w:ascii="黑体" w:eastAsia="黑体" w:hAnsi="宋体" w:cs="黑体" w:hint="eastAsia"/>
                <w:color w:val="000000"/>
                <w:kern w:val="0"/>
                <w:sz w:val="20"/>
                <w:szCs w:val="20"/>
              </w:rPr>
              <w:t>项目名称</w:t>
            </w:r>
          </w:p>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（职责权限）</w:t>
            </w:r>
          </w:p>
        </w:tc>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执法主体</w:t>
            </w:r>
          </w:p>
        </w:tc>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承办机构</w:t>
            </w:r>
          </w:p>
        </w:tc>
        <w:tc>
          <w:tcPr>
            <w:tcW w:w="0" w:type="auto"/>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执  法  依  据</w:t>
            </w:r>
          </w:p>
        </w:tc>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实施</w:t>
            </w:r>
            <w:r>
              <w:rPr>
                <w:rFonts w:ascii="黑体" w:eastAsia="黑体" w:hAnsi="宋体" w:cs="黑体" w:hint="eastAsia"/>
                <w:color w:val="000000"/>
                <w:kern w:val="0"/>
                <w:sz w:val="20"/>
                <w:szCs w:val="20"/>
              </w:rPr>
              <w:br/>
              <w:t>对象</w:t>
            </w:r>
          </w:p>
        </w:tc>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法律责任</w:t>
            </w: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办理时限</w:t>
            </w:r>
          </w:p>
        </w:tc>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收费依据和标准</w:t>
            </w:r>
          </w:p>
        </w:tc>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备注</w:t>
            </w:r>
          </w:p>
        </w:tc>
      </w:tr>
      <w:tr w:rsidR="002514B4" w:rsidTr="004D1C5B">
        <w:trPr>
          <w:trHeight w:val="480"/>
        </w:trPr>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法律</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行政法规</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地方性法规</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部委规章</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政府规章</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规范性文件</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法定</w:t>
            </w:r>
            <w:r>
              <w:rPr>
                <w:rFonts w:ascii="黑体" w:eastAsia="黑体" w:hAnsi="宋体" w:cs="黑体" w:hint="eastAsia"/>
                <w:color w:val="000000"/>
                <w:kern w:val="0"/>
                <w:sz w:val="20"/>
                <w:szCs w:val="20"/>
              </w:rPr>
              <w:br/>
              <w:t>时限</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承诺</w:t>
            </w:r>
            <w:r>
              <w:rPr>
                <w:rFonts w:ascii="黑体" w:eastAsia="黑体" w:hAnsi="宋体" w:cs="黑体" w:hint="eastAsia"/>
                <w:color w:val="000000"/>
                <w:kern w:val="0"/>
                <w:sz w:val="20"/>
                <w:szCs w:val="20"/>
              </w:rPr>
              <w:br/>
              <w:t>时限</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r>
      <w:tr w:rsidR="002514B4" w:rsidTr="004D1C5B">
        <w:trPr>
          <w:trHeight w:val="135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对擅自收购烟叶的行为的处罚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《中华人民共和国烟草专卖法》第十条、第二十八条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《中华人民共和国烟草专卖法实施条例》五十一条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擅自收购烟叶的企业或个人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 (一)擅自收购烟叶的，可以处非法收购烟叶价值20%以上50%以下的罚款，并按照查获地省级烟草专卖行政主管部门出具的上年度烟叶平均收购价格的70%收购违法收购的烟叶； (二)擅自收购烟叶1000公斤以上的，依法没收其违法收购的烟叶和违法所得。</w:t>
            </w:r>
          </w:p>
        </w:tc>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1、自发现违法线索或收到举报、其他机关移送、上级机关交办材料之日起7日内立案；案情重大、复杂的，经本烟草专卖局负责人批准，可以延长立案决定期限。</w:t>
            </w:r>
            <w:r>
              <w:rPr>
                <w:rFonts w:ascii="宋体" w:hAnsi="宋体" w:cs="宋体" w:hint="eastAsia"/>
                <w:color w:val="000000"/>
                <w:kern w:val="0"/>
                <w:sz w:val="20"/>
                <w:szCs w:val="20"/>
              </w:rPr>
              <w:br/>
              <w:t>2、自行政处罚案件立案之日起90日内作出行政处罚决定。90日内不能作出的，经</w:t>
            </w:r>
            <w:r>
              <w:rPr>
                <w:rFonts w:ascii="宋体" w:hAnsi="宋体" w:cs="宋体" w:hint="eastAsia"/>
                <w:color w:val="000000"/>
                <w:kern w:val="0"/>
                <w:sz w:val="20"/>
                <w:szCs w:val="20"/>
              </w:rPr>
              <w:lastRenderedPageBreak/>
              <w:t>本烟草专卖局负责人批准，可以延长30日。案情重大、复杂或者有其他特殊情况，经延期仍不能作出决定的，应当由上一级烟草专卖局决定是否继续延期，决定继续延期的，应当同时确定延长的合理期限。决定延期的，应当将延长的期限及理由书面告知当事人。案件处理过程中，听证、鉴定、公告等时间不计入前款规定的期限。</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405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2</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对无烟草专卖品准运证运输烟草专卖品行为的行政处罚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《中华人民共和国烟草专卖法》第二十一条、第二十九条第一款</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《中华人民共和国烟草专卖法实施条例》五十二条第（一）项、第（二）项</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无准运证或者超过准运证规定的数量托运或者自运烟草专卖品的企业或个人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一)无准运证或者超过准运证规定的数量托运或者自运烟草专卖品的，处以违法运输的烟草专卖品价值20%以上50%以下的罚款，可以按照查获地省级烟草专卖行政主管部门出具的上年度烟叶平均收购价格的70%收购违法运输的烟叶，以及按照市场批发价格的70%收购违法运输的除烟叶外的其他烟草专卖品。 (二)有下列情形之一的，没收违法运输的烟草专卖品和违法所得： 1.非法运输的烟草专卖品价值超过5万元或者运输卷烟数量超过100件(每1万支为1件)的；2.被烟草专卖行政主管部门处罚两次以上的； 3.抗拒烟草专卖行政主管部门的监督检查人员依法实施检查的；4.非法运输走私烟草专卖品的；5.运输无烟草专卖生产企业许可证的企业生产的烟草专卖品的；6.利用伪装非法运输烟草专卖品的；7.利用特种车辆运输烟草专卖品逃避检查的；8.其他非法运输行为，情节严重的。</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90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3</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对承运无烟草专卖品准运证的烟草专卖品行为的处罚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《中华人民共和国烟草专卖法》第二十一条、第二十九条第二款</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《中华人民共和国烟草专卖法实施条例》五十二条（三）项</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明知是烟草专卖品而为无准运证的单位、个人运输的承运人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没收违法所得，可以并处违法运输的烟草专卖品价值10%以上20%以下的罚款。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35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对邮寄、异地携带烟叶、烟草制品超国家规定限量行为的处罚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《中华人民共和国烟草专卖法》第第二十二条、第二十九条第三款</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《中华人民共和国烟草专卖法实施条例》五十二条（四）项</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超过国家规定的限量邮寄、异地携带烟叶、烟草制品的企业或个人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处以违法邮寄、异地携带烟叶、烟草制品价值20%以上50%以下的罚款，可以按照查获地省级烟草专卖行政主管部门出具的上年度烟叶平均收购价格的70%收购违法运输的烟叶，以及按照市场批发价格的70%收购违法邮寄、异地携带的除烟叶外的其他烟草专卖品。</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225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对无烟草专卖生产企业许可证生产烟草专卖品的行为的处罚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《中华人民共和国烟草专卖法》第十二条、第二十四条、第三</w:t>
            </w:r>
            <w:r>
              <w:rPr>
                <w:rFonts w:ascii="宋体" w:hAnsi="宋体" w:cs="宋体" w:hint="eastAsia"/>
                <w:color w:val="000000"/>
                <w:kern w:val="0"/>
                <w:sz w:val="18"/>
                <w:szCs w:val="18"/>
              </w:rPr>
              <w:lastRenderedPageBreak/>
              <w:t>十条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《中华人民共和国烟草专卖法实施条例》第五十三条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无烟草专卖生产企业许可证生产烟草制品、卷烟纸、滤嘴棒、烟用丝束、烟草专用机械的企业或个人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 (一)无烟草专卖生产企业许可证生产烟草制品的，由烟草专卖行政主管部门责令关闭，没收违法所得，处以所生产烟草制品价值1倍以上2倍以下的罚款，并将其违法生产的烟草制品公开销毁；(二)无烟草专卖生产企业许可证生产卷烟纸、滤嘴棒、烟</w:t>
            </w:r>
            <w:r>
              <w:rPr>
                <w:rFonts w:ascii="宋体" w:hAnsi="宋体" w:cs="宋体" w:hint="eastAsia"/>
                <w:color w:val="000000"/>
                <w:kern w:val="0"/>
                <w:sz w:val="18"/>
                <w:szCs w:val="18"/>
              </w:rPr>
              <w:lastRenderedPageBreak/>
              <w:t>用丝束或者烟草专用机械的，由烟草专卖行政主管部门责令停止生产，没收违法所得，处以违法生产的烟草专卖品价值1倍以上2倍以下的罚款，并将其违法生产的烟草专卖品公开销毁。</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90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6</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对无烟草专卖批发企业许可证经营烟草制品批发业务的行为的处罚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《中华人民共和国烟草专卖法》第十五条、第三十一条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《中华人民共和国烟草专卖法实施条例》第二十四条、第五十四条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无烟草专卖批发企业许可证经营烟草制品批发业务的企业或个人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责令关闭或者停止经营烟草制品批发业务，没收违法所得，处以违法批发的烟草制品价值50%以上1倍以下的罚款。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90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7</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对取得烟草专卖批发企业许可证的单位超越经营范围和地域范围从事烟草制品批发业务的行为的处罚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《中华人民共和国烟草专卖法实施条例》第二十三条第一款、第五十五条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超越经营范围和地域范围从事烟草制品批发业务的烟草专卖批发企业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责令暂停经营批发业务，没收违法所得，处以违法经营的烟草制品价值10%以上20%以下的罚款。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90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8</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对未在当地烟草专卖批发企业进货的行为</w:t>
            </w:r>
            <w:r>
              <w:rPr>
                <w:rFonts w:ascii="宋体" w:hAnsi="宋体" w:cs="宋体" w:hint="eastAsia"/>
                <w:color w:val="000000"/>
                <w:kern w:val="0"/>
                <w:sz w:val="18"/>
                <w:szCs w:val="18"/>
              </w:rPr>
              <w:lastRenderedPageBreak/>
              <w:t>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lastRenderedPageBreak/>
              <w:t>市、县烟草专</w:t>
            </w:r>
            <w:r>
              <w:rPr>
                <w:rFonts w:ascii="宋体" w:hAnsi="宋体" w:cs="宋体" w:hint="eastAsia"/>
                <w:color w:val="000000"/>
                <w:kern w:val="0"/>
                <w:sz w:val="20"/>
                <w:szCs w:val="20"/>
              </w:rPr>
              <w:lastRenderedPageBreak/>
              <w:t>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专卖监</w:t>
            </w:r>
            <w:r>
              <w:rPr>
                <w:rFonts w:ascii="宋体" w:hAnsi="宋体" w:cs="宋体" w:hint="eastAsia"/>
                <w:color w:val="000000"/>
                <w:kern w:val="0"/>
                <w:sz w:val="18"/>
                <w:szCs w:val="18"/>
              </w:rPr>
              <w:lastRenderedPageBreak/>
              <w:t>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《中华人民共和国烟草专卖法实施条例》第二十三</w:t>
            </w:r>
            <w:r>
              <w:rPr>
                <w:rFonts w:ascii="宋体" w:hAnsi="宋体" w:cs="宋体" w:hint="eastAsia"/>
                <w:color w:val="000000"/>
                <w:kern w:val="0"/>
                <w:sz w:val="18"/>
                <w:szCs w:val="18"/>
              </w:rPr>
              <w:lastRenderedPageBreak/>
              <w:t>条第二款、第五十六条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w:t>
            </w:r>
            <w:r>
              <w:rPr>
                <w:rFonts w:ascii="宋体" w:hAnsi="宋体" w:cs="宋体" w:hint="eastAsia"/>
                <w:color w:val="000000"/>
                <w:kern w:val="0"/>
                <w:sz w:val="18"/>
                <w:szCs w:val="18"/>
              </w:rPr>
              <w:lastRenderedPageBreak/>
              <w:t>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未在当地烟草专卖批发企业进货并取得烟草专卖零售许可证的企业或者个人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没收违法所得，可处以进货总额5%以上10%以下的罚款。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125"/>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9</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对销售非法生产的烟草烟草专卖品的行为的处罚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《中华人民共和国烟草专卖法实施条例》第二十五条、第三十八条第一款、第五十八条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销售非法生产的烟草制品、烟草专用机械、卷烟纸、滤嘴棒及烟用丝束的企业或个人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责令停止销售，没收违法所得，处以违法销售总额20%以上50%以下的罚款，并将非法销售的烟草专卖品公开销毁。</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35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对未取得国务院烟草专卖行政主管部门核发的烟草专卖批发企业许可证，擅自跨省、自治区、直辖市从事烟草制品批发业务的行为的处罚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《中华人民共和国烟草专卖法实施条例》第五十九条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擅自跨省、自治区、直辖市从事烟草制品批发业务的烟草专卖批发企业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处以批发总额10%以上20%以下的罚款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125"/>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11</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对为无烟草专卖许可证单位或者个人提供烟草烟草专卖品的行为的处</w:t>
            </w:r>
            <w:r>
              <w:rPr>
                <w:rFonts w:ascii="宋体" w:hAnsi="宋体" w:cs="宋体" w:hint="eastAsia"/>
                <w:color w:val="000000"/>
                <w:kern w:val="0"/>
                <w:sz w:val="18"/>
                <w:szCs w:val="18"/>
              </w:rPr>
              <w:lastRenderedPageBreak/>
              <w:t>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lastRenderedPageBreak/>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w:t>
            </w:r>
            <w:r>
              <w:rPr>
                <w:rFonts w:ascii="宋体" w:hAnsi="宋体" w:cs="宋体" w:hint="eastAsia"/>
                <w:color w:val="000000"/>
                <w:kern w:val="0"/>
                <w:sz w:val="18"/>
                <w:szCs w:val="18"/>
              </w:rPr>
              <w:lastRenderedPageBreak/>
              <w:t>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《中华人民共和国烟草专卖法实施条例》第二十六条、第三十六条第二款、第六十条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w:t>
            </w:r>
            <w:r>
              <w:rPr>
                <w:rFonts w:ascii="宋体" w:hAnsi="宋体" w:cs="宋体" w:hint="eastAsia"/>
                <w:color w:val="000000"/>
                <w:kern w:val="0"/>
                <w:sz w:val="18"/>
                <w:szCs w:val="18"/>
              </w:rPr>
              <w:lastRenderedPageBreak/>
              <w:t>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为无烟草专卖许可证单位或者个人提供烟草制品、卷烟纸、滤嘴棒、烟用丝束、烟草专用机械的烟草专卖生产企业和烟草专卖批发企业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没收违法所得，并处以销售总额20%以上50%以下的罚款。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35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12</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对烟草专卖批发企业和烟草制品生产企业从无烟草专卖生产企业许可证的企业购买卷烟纸、滤嘴棒、烟用丝束、烟草专用机械行为的处罚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《中华人民共和国烟草专卖法实施条例》第三十六条第一款、第六十一条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从无烟草专卖生产企业许可证的企业购买卷烟纸、滤嘴棒、烟用丝束、烟草专用机械的烟草专卖批发企业和烟草制品生产企业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处以所购烟草专卖品价值50%以上1倍以下的罚款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90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13</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对免税进口的烟草制品不按规定存放在烟草制品保税仓库内的行为的处罚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《中华人民共和国烟草专卖法实施条例》第四十一条、第六十二条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经营免税烟草制品的免税店</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可以处烟草制品价值50%以下的罚款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125"/>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14</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对在海关监管区内经营免税的卷烟、雪茄烟没有在小包、条包上标</w:t>
            </w:r>
            <w:r>
              <w:rPr>
                <w:rFonts w:ascii="宋体" w:hAnsi="宋体" w:cs="宋体" w:hint="eastAsia"/>
                <w:color w:val="000000"/>
                <w:kern w:val="0"/>
                <w:sz w:val="18"/>
                <w:szCs w:val="18"/>
              </w:rPr>
              <w:lastRenderedPageBreak/>
              <w:t>注国务院烟草专卖行政主管部门规定的专门标志的处罚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lastRenderedPageBreak/>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w:t>
            </w:r>
            <w:r>
              <w:rPr>
                <w:rFonts w:ascii="宋体" w:hAnsi="宋体" w:cs="宋体" w:hint="eastAsia"/>
                <w:color w:val="000000"/>
                <w:kern w:val="0"/>
                <w:sz w:val="18"/>
                <w:szCs w:val="18"/>
              </w:rPr>
              <w:lastRenderedPageBreak/>
              <w:t>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《中华人民共和国烟草专卖法实施条例》第四十二条、第六十三条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w:t>
            </w:r>
            <w:r>
              <w:rPr>
                <w:rFonts w:ascii="宋体" w:hAnsi="宋体" w:cs="宋体" w:hint="eastAsia"/>
                <w:color w:val="000000"/>
                <w:kern w:val="0"/>
                <w:sz w:val="18"/>
                <w:szCs w:val="18"/>
              </w:rPr>
              <w:lastRenderedPageBreak/>
              <w:t>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经营免税烟草制品的免税店</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可以处非法经营总额50%以下的罚款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575"/>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15</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对销售无标志外国卷烟、出口倒流国产卷烟、没收的非法进口卷烟行为的处罚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《中华人民共和国烟草专卖法实施条例》第四十三条；《国务院关于严厉打击卷烟走私整顿卷烟市场通告的批复》（国函［2000］13号）</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销售无标志外国卷烟、出口倒流国产卷烟、没收的非法进口卷烟行为的企业或个人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无标志外国卷烟、出口倒流国产卷烟、没收的非法进口卷烟由海关、公安、工商行政管理部门和烟草专卖行政主管部门予以没收。</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90"/>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16</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对拍卖企业未对竞买人进行资格验证，或者不接受烟草专卖行政主管部门的监督，擅自拍卖烟草专卖品的处罚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《中华人民共和国烟草专卖法实施条例》第四十八条、第六十四条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擅自拍卖烟草制品的拍卖企业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处以拍卖的烟草专卖品价值20%以上50%以下的罚款，并依法取消其拍卖烟草专卖品的资格</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575"/>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17</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对许可证申请人隐瞒有关情况或者提供虚假材料的行为的处罚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w:t>
            </w:r>
            <w:r>
              <w:rPr>
                <w:rFonts w:ascii="宋体" w:hAnsi="宋体" w:cs="宋体" w:hint="eastAsia"/>
                <w:color w:val="000000"/>
                <w:kern w:val="0"/>
                <w:sz w:val="18"/>
                <w:szCs w:val="18"/>
              </w:rPr>
              <w:lastRenderedPageBreak/>
              <w:t>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《烟草专卖行政处罚程序规定》、《烟草专卖许可证管理办法》第五</w:t>
            </w:r>
            <w:r>
              <w:rPr>
                <w:rFonts w:ascii="宋体" w:hAnsi="宋体" w:cs="宋体" w:hint="eastAsia"/>
                <w:color w:val="000000"/>
                <w:kern w:val="0"/>
                <w:sz w:val="18"/>
                <w:szCs w:val="18"/>
              </w:rPr>
              <w:lastRenderedPageBreak/>
              <w:t>十四条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隐瞒有关情况或者提供虚假材料的许可证申请人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不予受理或者不予发证，给予警告；申请人在一年内不得再次申请烟草专卖许可证</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575"/>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18</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对使用涂改、伪造、变造的烟草专卖许可证的行为的处罚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《烟草专卖行政处罚程序规定》、《烟草专卖许可证管理办法》第五十六条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使用涂改、伪造、变造的烟草专卖许可证的企业或个人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处以1000元以下的罚款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575"/>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19</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对不及时办理烟草专卖许可证变更、注销手续，责令改正，拒不改正的行为的处罚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《烟草专卖行政处罚程序规定》、《烟草专卖许可证管理办法》第五十七条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不及时办理烟草专卖许可证变更、注销手续的企业或个人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处以1000元以下的罚款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915"/>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对违反《许可证管理办法》第四十四条规定的行为的处罚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《中华人民共和国烟草专卖法实施条例》第十四条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《烟草专卖行政处罚程序规定》、《烟草专卖许可证管理办法》第四十四条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经检查不符合烟草专卖法、烟草专卖法实施条例规定条件的持证人；买卖、出租、出借或者以其他形式非法转让烟草专卖许可证的持证人；违法生产经营烟草专卖品一年内被处罚两次以上的持证人；一次性查获假烟、</w:t>
            </w:r>
            <w:r>
              <w:rPr>
                <w:rFonts w:ascii="宋体" w:hAnsi="宋体" w:cs="宋体" w:hint="eastAsia"/>
                <w:color w:val="000000"/>
                <w:kern w:val="0"/>
                <w:sz w:val="18"/>
                <w:szCs w:val="18"/>
              </w:rPr>
              <w:lastRenderedPageBreak/>
              <w:t>走私烟50条以上的持证人；因非法生产经营烟草专卖品被追究刑事责任的持证人；不执行烟草专卖行政主管部门行政处罚决定的持证人；被工商部门吊销营业执照的持证人；擅自将烟叶、卷烟纸、滤嘴棒、烟用丝束、烟草专用机械出售给无烟草专卖生产企业许可证、烟草专卖批发企业许可证企业的烟草专卖批发企业；拒绝办理烟草专卖许可证变更手续的企业或个人；违反法律法规规章规定的其他情形的持证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责令持证人暂停烟草专卖业务、进行整顿，直至依法取消其从事烟草专卖业务的资格</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r>
      <w:tr w:rsidR="002514B4" w:rsidTr="004D1C5B">
        <w:trPr>
          <w:trHeight w:val="1125"/>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21</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对向未成年人销售烟（电子烟）行为的处罚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《未成年人保护法》第五十九条、一百二十三条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向未成年人销售烟（电子烟）企业或者个人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责令限期改正，给予警告，没收违法所得，可以并处五万元以下罚款；拒不改正或者情节严重的，责令停业整顿或者吊销营业执照、吊销相关许可证，可以并处五万元以上五十万元以下罚款。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4B4" w:rsidRDefault="002514B4" w:rsidP="004D1C5B">
            <w:pPr>
              <w:jc w:val="center"/>
              <w:rPr>
                <w:rFonts w:ascii="宋体" w:hAnsi="宋体" w:cs="宋体"/>
                <w:color w:val="000000"/>
                <w:sz w:val="22"/>
              </w:rPr>
            </w:pPr>
          </w:p>
        </w:tc>
      </w:tr>
      <w:tr w:rsidR="002514B4" w:rsidTr="004D1C5B">
        <w:trPr>
          <w:trHeight w:val="1125"/>
        </w:trPr>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22</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对烟（电子烟）经营者未在显著位置设置不向未成年人销售烟（电子烟）</w:t>
            </w:r>
            <w:r>
              <w:rPr>
                <w:rFonts w:ascii="宋体" w:hAnsi="宋体" w:cs="宋体" w:hint="eastAsia"/>
                <w:color w:val="000000"/>
                <w:kern w:val="0"/>
                <w:sz w:val="18"/>
                <w:szCs w:val="18"/>
              </w:rPr>
              <w:lastRenderedPageBreak/>
              <w:t>标志行为的处罚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20"/>
                <w:szCs w:val="20"/>
              </w:rPr>
              <w:lastRenderedPageBreak/>
              <w:t>市、县烟草专卖局</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专卖监督管</w:t>
            </w:r>
            <w:r>
              <w:rPr>
                <w:rFonts w:ascii="宋体" w:hAnsi="宋体" w:cs="宋体" w:hint="eastAsia"/>
                <w:color w:val="000000"/>
                <w:kern w:val="0"/>
                <w:sz w:val="18"/>
                <w:szCs w:val="18"/>
              </w:rPr>
              <w:lastRenderedPageBreak/>
              <w:t>理科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《未成年人保护法》第五十九条、一百</w:t>
            </w:r>
            <w:r>
              <w:rPr>
                <w:rFonts w:ascii="宋体" w:hAnsi="宋体" w:cs="宋体" w:hint="eastAsia"/>
                <w:color w:val="000000"/>
                <w:kern w:val="0"/>
                <w:sz w:val="18"/>
                <w:szCs w:val="18"/>
              </w:rPr>
              <w:lastRenderedPageBreak/>
              <w:t>二十三条</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《烟草专卖行政处罚程序规定》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《河北省烟草专卖行政处罚自由裁</w:t>
            </w:r>
            <w:r>
              <w:rPr>
                <w:rFonts w:ascii="宋体" w:hAnsi="宋体" w:cs="宋体" w:hint="eastAsia"/>
                <w:color w:val="000000"/>
                <w:kern w:val="0"/>
                <w:sz w:val="18"/>
                <w:szCs w:val="18"/>
              </w:rPr>
              <w:lastRenderedPageBreak/>
              <w:t>量执行标准》</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取得烟草专卖零售许可证的企业或者个人</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责令限期改正，给予警告，没收违法所得，可以并处五万元以下罚款；拒不改正或者情节严重的，责令停业整顿或者吊销营业执照、吊销相关许可证，可以并</w:t>
            </w:r>
            <w:r>
              <w:rPr>
                <w:rFonts w:ascii="宋体" w:hAnsi="宋体" w:cs="宋体" w:hint="eastAsia"/>
                <w:color w:val="000000"/>
                <w:kern w:val="0"/>
                <w:sz w:val="18"/>
                <w:szCs w:val="18"/>
              </w:rPr>
              <w:lastRenderedPageBreak/>
              <w:t>处五万元以上五十万元以下罚款。</w:t>
            </w:r>
          </w:p>
        </w:tc>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left"/>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514B4" w:rsidRDefault="002514B4" w:rsidP="004D1C5B">
            <w:pPr>
              <w:jc w:val="center"/>
              <w:rPr>
                <w:rFonts w:ascii="宋体" w:hAnsi="宋体" w:cs="宋体"/>
                <w:color w:val="000000"/>
                <w:sz w:val="22"/>
              </w:rPr>
            </w:pPr>
          </w:p>
        </w:tc>
      </w:tr>
    </w:tbl>
    <w:p w:rsidR="002514B4" w:rsidRDefault="002514B4" w:rsidP="002514B4">
      <w:pPr>
        <w:jc w:val="left"/>
      </w:pPr>
    </w:p>
    <w:p w:rsidR="002514B4" w:rsidRDefault="002514B4" w:rsidP="002514B4">
      <w:pPr>
        <w:jc w:val="left"/>
      </w:pPr>
    </w:p>
    <w:p w:rsidR="002514B4" w:rsidRPr="00897869" w:rsidRDefault="002514B4" w:rsidP="002514B4"/>
    <w:sectPr w:rsidR="002514B4" w:rsidRPr="00897869" w:rsidSect="002514B4">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18B0" w:rsidRDefault="00E818B0" w:rsidP="002F1BE8">
      <w:r>
        <w:separator/>
      </w:r>
    </w:p>
  </w:endnote>
  <w:endnote w:type="continuationSeparator" w:id="1">
    <w:p w:rsidR="00E818B0" w:rsidRDefault="00E818B0" w:rsidP="002F1B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18B0" w:rsidRDefault="00E818B0" w:rsidP="002F1BE8">
      <w:r>
        <w:separator/>
      </w:r>
    </w:p>
  </w:footnote>
  <w:footnote w:type="continuationSeparator" w:id="1">
    <w:p w:rsidR="00E818B0" w:rsidRDefault="00E818B0" w:rsidP="002F1B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14B4"/>
    <w:rsid w:val="002514B4"/>
    <w:rsid w:val="002F1BE8"/>
    <w:rsid w:val="0075666D"/>
    <w:rsid w:val="00DF5B57"/>
    <w:rsid w:val="00E818B0"/>
    <w:rsid w:val="00F87D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4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51">
    <w:name w:val="font51"/>
    <w:basedOn w:val="a0"/>
    <w:rsid w:val="002514B4"/>
    <w:rPr>
      <w:rFonts w:ascii="方正小标宋简体" w:eastAsia="方正小标宋简体" w:hAnsi="方正小标宋简体" w:cs="方正小标宋简体" w:hint="eastAsia"/>
      <w:i w:val="0"/>
      <w:color w:val="000000"/>
      <w:sz w:val="44"/>
      <w:szCs w:val="44"/>
      <w:u w:val="none"/>
    </w:rPr>
  </w:style>
  <w:style w:type="paragraph" w:styleId="a3">
    <w:name w:val="header"/>
    <w:basedOn w:val="a"/>
    <w:link w:val="Char"/>
    <w:uiPriority w:val="99"/>
    <w:semiHidden/>
    <w:unhideWhenUsed/>
    <w:rsid w:val="002F1B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F1BE8"/>
    <w:rPr>
      <w:sz w:val="18"/>
      <w:szCs w:val="18"/>
    </w:rPr>
  </w:style>
  <w:style w:type="paragraph" w:styleId="a4">
    <w:name w:val="footer"/>
    <w:basedOn w:val="a"/>
    <w:link w:val="Char0"/>
    <w:uiPriority w:val="99"/>
    <w:semiHidden/>
    <w:unhideWhenUsed/>
    <w:rsid w:val="002F1BE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F1BE8"/>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1C28BC-6A6C-45AA-8097-62555EAB9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864</Words>
  <Characters>4931</Characters>
  <Application>Microsoft Office Word</Application>
  <DocSecurity>0</DocSecurity>
  <Lines>41</Lines>
  <Paragraphs>11</Paragraphs>
  <ScaleCrop>false</ScaleCrop>
  <Company/>
  <LinksUpToDate>false</LinksUpToDate>
  <CharactersWithSpaces>5784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山海关专卖02</dc:creator>
  <cp:lastModifiedBy>山海关专卖02</cp:lastModifiedBy>
  <cp:revision>4</cp:revision>
  <dcterms:created xsi:type="dcterms:W3CDTF">2025-12-04T04:49:00Z</dcterms:created>
  <dcterms:modified xsi:type="dcterms:W3CDTF">2025-12-04T04:55:00Z</dcterms:modified>
</cp:coreProperties>
</file>