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37522A">
      <w:pPr>
        <w:keepNext w:val="0"/>
        <w:keepLines w:val="0"/>
        <w:pageBreakBefore w:val="0"/>
        <w:kinsoku/>
        <w:wordWrap/>
        <w:overflowPunct/>
        <w:topLinePunct w:val="0"/>
        <w:bidi w:val="0"/>
        <w:adjustRightInd w:val="0"/>
        <w:snapToGrid w:val="0"/>
        <w:spacing w:line="560" w:lineRule="exact"/>
        <w:jc w:val="center"/>
        <w:rPr>
          <w:rFonts w:eastAsia="方正小标宋简体"/>
          <w:sz w:val="44"/>
          <w:szCs w:val="32"/>
        </w:rPr>
      </w:pPr>
      <w:r>
        <w:rPr>
          <w:rFonts w:hint="eastAsia" w:eastAsia="方正小标宋简体"/>
          <w:sz w:val="44"/>
          <w:szCs w:val="32"/>
          <w:lang w:eastAsia="zh-CN"/>
        </w:rPr>
        <w:t>山海关区</w:t>
      </w:r>
      <w:r>
        <w:rPr>
          <w:rFonts w:hint="eastAsia" w:eastAsia="方正小标宋简体"/>
          <w:sz w:val="44"/>
          <w:szCs w:val="32"/>
        </w:rPr>
        <w:t>应急管理局</w:t>
      </w:r>
    </w:p>
    <w:p w14:paraId="13FC2CF7">
      <w:pPr>
        <w:keepNext w:val="0"/>
        <w:keepLines w:val="0"/>
        <w:pageBreakBefore w:val="0"/>
        <w:kinsoku/>
        <w:wordWrap/>
        <w:overflowPunct/>
        <w:topLinePunct w:val="0"/>
        <w:bidi w:val="0"/>
        <w:adjustRightInd w:val="0"/>
        <w:snapToGrid w:val="0"/>
        <w:spacing w:line="560" w:lineRule="exact"/>
        <w:jc w:val="center"/>
        <w:rPr>
          <w:rFonts w:eastAsia="方正小标宋简体"/>
          <w:sz w:val="44"/>
          <w:szCs w:val="32"/>
        </w:rPr>
      </w:pPr>
      <w:r>
        <w:rPr>
          <w:rFonts w:eastAsia="方正小标宋简体"/>
          <w:sz w:val="44"/>
          <w:szCs w:val="32"/>
        </w:rPr>
        <w:t>202</w:t>
      </w:r>
      <w:r>
        <w:rPr>
          <w:rFonts w:hint="eastAsia" w:eastAsia="方正小标宋简体"/>
          <w:sz w:val="44"/>
          <w:szCs w:val="32"/>
          <w:lang w:val="en-US" w:eastAsia="zh-CN"/>
        </w:rPr>
        <w:t>5</w:t>
      </w:r>
      <w:r>
        <w:rPr>
          <w:rFonts w:eastAsia="方正小标宋简体"/>
          <w:sz w:val="44"/>
          <w:szCs w:val="32"/>
        </w:rPr>
        <w:t>年度安全生产监督检查计划</w:t>
      </w:r>
    </w:p>
    <w:p w14:paraId="649A425C">
      <w:pPr>
        <w:pStyle w:val="11"/>
        <w:keepNext w:val="0"/>
        <w:keepLines w:val="0"/>
        <w:pageBreakBefore w:val="0"/>
        <w:kinsoku/>
        <w:wordWrap/>
        <w:overflowPunct/>
        <w:topLinePunct w:val="0"/>
        <w:bidi w:val="0"/>
        <w:spacing w:line="560" w:lineRule="exact"/>
        <w:ind w:firstLine="420"/>
        <w:rPr>
          <w:rFonts w:hint="eastAsia"/>
        </w:rPr>
      </w:pPr>
    </w:p>
    <w:p w14:paraId="2412D2BA">
      <w:pPr>
        <w:keepNext w:val="0"/>
        <w:keepLines w:val="0"/>
        <w:pageBreakBefore w:val="0"/>
        <w:kinsoku/>
        <w:wordWrap/>
        <w:overflowPunct/>
        <w:topLinePunct w:val="0"/>
        <w:autoSpaceDE/>
        <w:bidi w:val="0"/>
        <w:adjustRightInd w:val="0"/>
        <w:snapToGrid w:val="0"/>
        <w:spacing w:line="560" w:lineRule="exact"/>
        <w:ind w:firstLine="640" w:firstLineChars="200"/>
        <w:jc w:val="left"/>
        <w:textAlignment w:val="auto"/>
        <w:rPr>
          <w:rFonts w:eastAsia="仿宋_GB2312"/>
          <w:spacing w:val="-4"/>
          <w:sz w:val="32"/>
          <w:szCs w:val="32"/>
        </w:rPr>
      </w:pPr>
      <w:r>
        <w:rPr>
          <w:rFonts w:eastAsia="仿宋_GB2312"/>
          <w:sz w:val="32"/>
          <w:szCs w:val="32"/>
        </w:rPr>
        <w:t>为规范安全生产行政执法</w:t>
      </w:r>
      <w:r>
        <w:rPr>
          <w:rFonts w:hint="eastAsia" w:eastAsia="仿宋_GB2312"/>
          <w:sz w:val="32"/>
          <w:szCs w:val="32"/>
        </w:rPr>
        <w:t>行为</w:t>
      </w:r>
      <w:r>
        <w:rPr>
          <w:rFonts w:eastAsia="仿宋_GB2312"/>
          <w:sz w:val="32"/>
          <w:szCs w:val="32"/>
        </w:rPr>
        <w:t>，</w:t>
      </w:r>
      <w:r>
        <w:rPr>
          <w:rFonts w:hint="eastAsia" w:eastAsia="仿宋_GB2312"/>
          <w:sz w:val="32"/>
          <w:szCs w:val="32"/>
        </w:rPr>
        <w:t>切实提高安全生产执法效能，</w:t>
      </w:r>
      <w:r>
        <w:rPr>
          <w:rFonts w:eastAsia="仿宋_GB2312"/>
          <w:sz w:val="32"/>
          <w:szCs w:val="32"/>
        </w:rPr>
        <w:t>促进企业落实安全生产主体责任，防范事故发生，依据《安全生产年度监督检查计划编制办法》</w:t>
      </w:r>
      <w:r>
        <w:rPr>
          <w:rFonts w:eastAsia="仿宋_GB2312"/>
          <w:spacing w:val="-4"/>
          <w:kern w:val="0"/>
          <w:sz w:val="32"/>
          <w:szCs w:val="32"/>
        </w:rPr>
        <w:t>（安监总政法〔</w:t>
      </w:r>
      <w:r>
        <w:rPr>
          <w:rFonts w:eastAsia="仿宋_GB2312"/>
          <w:spacing w:val="-4"/>
          <w:sz w:val="32"/>
          <w:szCs w:val="32"/>
        </w:rPr>
        <w:t>2017〕150号</w:t>
      </w:r>
      <w:r>
        <w:rPr>
          <w:rFonts w:hint="eastAsia" w:eastAsia="仿宋_GB2312"/>
          <w:spacing w:val="-4"/>
          <w:sz w:val="32"/>
          <w:szCs w:val="32"/>
        </w:rPr>
        <w:t>）</w:t>
      </w:r>
      <w:r>
        <w:rPr>
          <w:rFonts w:eastAsia="仿宋_GB2312"/>
          <w:sz w:val="32"/>
          <w:szCs w:val="32"/>
        </w:rPr>
        <w:t>和有关法律法规规定，结合全</w:t>
      </w:r>
      <w:r>
        <w:rPr>
          <w:rFonts w:hint="eastAsia" w:eastAsia="仿宋_GB2312"/>
          <w:sz w:val="32"/>
          <w:szCs w:val="32"/>
          <w:lang w:eastAsia="zh-CN"/>
        </w:rPr>
        <w:t>区</w:t>
      </w:r>
      <w:r>
        <w:rPr>
          <w:rFonts w:eastAsia="仿宋_GB2312"/>
          <w:sz w:val="32"/>
          <w:szCs w:val="32"/>
        </w:rPr>
        <w:t>安全生产工作实际</w:t>
      </w:r>
      <w:r>
        <w:rPr>
          <w:rFonts w:eastAsia="仿宋_GB2312"/>
          <w:spacing w:val="-4"/>
          <w:kern w:val="0"/>
          <w:sz w:val="32"/>
          <w:szCs w:val="32"/>
        </w:rPr>
        <w:t>，制定</w:t>
      </w:r>
      <w:r>
        <w:rPr>
          <w:rFonts w:eastAsia="仿宋_GB2312"/>
          <w:spacing w:val="-4"/>
          <w:sz w:val="32"/>
          <w:szCs w:val="32"/>
        </w:rPr>
        <w:t>202</w:t>
      </w:r>
      <w:r>
        <w:rPr>
          <w:rFonts w:hint="eastAsia" w:eastAsia="仿宋_GB2312"/>
          <w:spacing w:val="-4"/>
          <w:sz w:val="32"/>
          <w:szCs w:val="32"/>
          <w:lang w:val="en-US" w:eastAsia="zh-CN"/>
        </w:rPr>
        <w:t>5</w:t>
      </w:r>
      <w:r>
        <w:rPr>
          <w:rFonts w:eastAsia="仿宋_GB2312"/>
          <w:spacing w:val="-4"/>
          <w:sz w:val="32"/>
          <w:szCs w:val="32"/>
        </w:rPr>
        <w:t>年度安全生产监督检查计划。</w:t>
      </w:r>
    </w:p>
    <w:p w14:paraId="41A786C9">
      <w:pPr>
        <w:keepNext w:val="0"/>
        <w:keepLines w:val="0"/>
        <w:pageBreakBefore w:val="0"/>
        <w:kinsoku/>
        <w:wordWrap/>
        <w:overflowPunct/>
        <w:topLinePunct w:val="0"/>
        <w:autoSpaceDE/>
        <w:autoSpaceDN w:val="0"/>
        <w:bidi w:val="0"/>
        <w:adjustRightInd w:val="0"/>
        <w:snapToGrid w:val="0"/>
        <w:spacing w:line="560" w:lineRule="exact"/>
        <w:ind w:firstLine="640" w:firstLineChars="200"/>
        <w:textAlignment w:val="auto"/>
        <w:rPr>
          <w:rFonts w:eastAsia="黑体"/>
          <w:kern w:val="0"/>
          <w:sz w:val="32"/>
          <w:szCs w:val="32"/>
        </w:rPr>
      </w:pPr>
      <w:r>
        <w:rPr>
          <w:rFonts w:eastAsia="黑体"/>
          <w:kern w:val="0"/>
          <w:sz w:val="32"/>
          <w:szCs w:val="32"/>
        </w:rPr>
        <w:t>一、指导思想</w:t>
      </w:r>
    </w:p>
    <w:p w14:paraId="03C996BB">
      <w:pPr>
        <w:keepNext w:val="0"/>
        <w:keepLines w:val="0"/>
        <w:pageBreakBefore w:val="0"/>
        <w:kinsoku/>
        <w:wordWrap/>
        <w:overflowPunct/>
        <w:topLinePunct w:val="0"/>
        <w:autoSpaceDE/>
        <w:bidi w:val="0"/>
        <w:spacing w:line="560" w:lineRule="exact"/>
        <w:ind w:firstLine="640" w:firstLineChars="200"/>
        <w:jc w:val="left"/>
        <w:textAlignment w:val="auto"/>
        <w:rPr>
          <w:rFonts w:eastAsia="仿宋_GB2312"/>
          <w:bCs/>
          <w:sz w:val="32"/>
          <w:szCs w:val="32"/>
          <w:lang w:val="zh-CN"/>
        </w:rPr>
      </w:pPr>
      <w:r>
        <w:rPr>
          <w:rFonts w:hint="eastAsia" w:eastAsia="仿宋_GB2312"/>
          <w:kern w:val="0"/>
          <w:sz w:val="32"/>
          <w:szCs w:val="32"/>
        </w:rPr>
        <w:t>以</w:t>
      </w:r>
      <w:r>
        <w:rPr>
          <w:rFonts w:eastAsia="仿宋_GB2312"/>
          <w:kern w:val="0"/>
          <w:sz w:val="32"/>
          <w:szCs w:val="32"/>
        </w:rPr>
        <w:t>习近平总书记关于安全生产的重要论述和指示批示</w:t>
      </w:r>
      <w:r>
        <w:rPr>
          <w:rFonts w:hint="eastAsia" w:eastAsia="仿宋_GB2312"/>
          <w:kern w:val="0"/>
          <w:sz w:val="32"/>
          <w:szCs w:val="32"/>
        </w:rPr>
        <w:t>精神为指导</w:t>
      </w:r>
      <w:r>
        <w:rPr>
          <w:rFonts w:eastAsia="仿宋_GB2312"/>
          <w:kern w:val="0"/>
          <w:sz w:val="32"/>
          <w:szCs w:val="32"/>
        </w:rPr>
        <w:t>，</w:t>
      </w:r>
      <w:r>
        <w:rPr>
          <w:rFonts w:hint="eastAsia" w:eastAsia="仿宋_GB2312"/>
          <w:kern w:val="0"/>
          <w:sz w:val="32"/>
          <w:szCs w:val="32"/>
        </w:rPr>
        <w:t>认真贯彻落实</w:t>
      </w:r>
      <w:r>
        <w:rPr>
          <w:rFonts w:eastAsia="仿宋_GB2312"/>
          <w:kern w:val="0"/>
          <w:sz w:val="32"/>
          <w:szCs w:val="32"/>
          <w:lang w:val="zh-CN"/>
        </w:rPr>
        <w:t>省委、省政府</w:t>
      </w:r>
      <w:r>
        <w:rPr>
          <w:rFonts w:hint="eastAsia" w:eastAsia="仿宋_GB2312"/>
          <w:kern w:val="0"/>
          <w:sz w:val="32"/>
          <w:szCs w:val="32"/>
          <w:lang w:val="zh-CN"/>
        </w:rPr>
        <w:t>、</w:t>
      </w:r>
      <w:r>
        <w:rPr>
          <w:rFonts w:eastAsia="仿宋_GB2312"/>
          <w:kern w:val="0"/>
          <w:sz w:val="32"/>
          <w:szCs w:val="32"/>
          <w:lang w:val="zh-CN"/>
        </w:rPr>
        <w:t>应急管理部</w:t>
      </w:r>
      <w:r>
        <w:rPr>
          <w:rFonts w:hint="eastAsia" w:eastAsia="仿宋_GB2312"/>
          <w:kern w:val="0"/>
          <w:sz w:val="32"/>
          <w:szCs w:val="32"/>
          <w:lang w:val="zh-CN"/>
        </w:rPr>
        <w:t>、市委市政府和区委区政府</w:t>
      </w:r>
      <w:r>
        <w:rPr>
          <w:rFonts w:eastAsia="仿宋_GB2312"/>
          <w:kern w:val="0"/>
          <w:sz w:val="32"/>
          <w:szCs w:val="32"/>
          <w:lang w:val="zh-CN"/>
        </w:rPr>
        <w:t>关于安全生产工作的各项决策部署</w:t>
      </w:r>
      <w:r>
        <w:rPr>
          <w:rFonts w:hint="eastAsia" w:eastAsia="仿宋_GB2312"/>
          <w:kern w:val="0"/>
          <w:sz w:val="32"/>
          <w:szCs w:val="32"/>
          <w:lang w:val="zh-CN"/>
        </w:rPr>
        <w:t>，紧紧围绕安全生产治本攻坚三年行动，突出重大事故隐患查处，突出精准化和信息化执法，坚持严格规范公正文明执法，</w:t>
      </w:r>
      <w:r>
        <w:rPr>
          <w:rFonts w:hint="eastAsia" w:ascii="仿宋_GB2312" w:hAnsi="仿宋_GB2312" w:eastAsia="仿宋_GB2312" w:cs="仿宋_GB2312"/>
          <w:sz w:val="32"/>
          <w:szCs w:val="32"/>
        </w:rPr>
        <w:t>依法严厉查处安全生产非法违法行为，</w:t>
      </w:r>
      <w:r>
        <w:rPr>
          <w:rFonts w:eastAsia="仿宋_GB2312"/>
          <w:kern w:val="0"/>
          <w:sz w:val="32"/>
          <w:szCs w:val="32"/>
        </w:rPr>
        <w:t>促进企业落实安全生产主体责任，</w:t>
      </w:r>
      <w:r>
        <w:rPr>
          <w:rFonts w:hint="eastAsia" w:ascii="仿宋_GB2312" w:hAnsi="仿宋_GB2312" w:eastAsia="仿宋_GB2312" w:cs="仿宋_GB2312"/>
          <w:sz w:val="32"/>
          <w:szCs w:val="32"/>
        </w:rPr>
        <w:t>有效防范遏制重特大生产安全事故</w:t>
      </w:r>
      <w:r>
        <w:rPr>
          <w:rFonts w:eastAsia="仿宋_GB2312"/>
          <w:kern w:val="0"/>
          <w:sz w:val="32"/>
          <w:szCs w:val="32"/>
          <w:lang w:val="zh-CN"/>
        </w:rPr>
        <w:t>，推动全</w:t>
      </w:r>
      <w:r>
        <w:rPr>
          <w:rFonts w:hint="eastAsia" w:eastAsia="仿宋_GB2312"/>
          <w:kern w:val="0"/>
          <w:sz w:val="32"/>
          <w:szCs w:val="32"/>
          <w:lang w:val="zh-CN"/>
        </w:rPr>
        <w:t>区</w:t>
      </w:r>
      <w:r>
        <w:rPr>
          <w:rFonts w:eastAsia="仿宋_GB2312"/>
          <w:kern w:val="0"/>
          <w:sz w:val="32"/>
          <w:szCs w:val="32"/>
          <w:lang w:val="zh-CN"/>
        </w:rPr>
        <w:t>安全生产形势持续</w:t>
      </w:r>
      <w:r>
        <w:rPr>
          <w:rFonts w:hint="eastAsia" w:eastAsia="仿宋_GB2312"/>
          <w:kern w:val="0"/>
          <w:sz w:val="32"/>
          <w:szCs w:val="32"/>
          <w:lang w:val="zh-CN"/>
        </w:rPr>
        <w:t>稳定向好</w:t>
      </w:r>
      <w:r>
        <w:rPr>
          <w:rFonts w:eastAsia="仿宋_GB2312"/>
          <w:kern w:val="0"/>
          <w:sz w:val="32"/>
          <w:szCs w:val="32"/>
          <w:lang w:val="zh-CN"/>
        </w:rPr>
        <w:t>，</w:t>
      </w:r>
      <w:r>
        <w:rPr>
          <w:rFonts w:hint="default" w:ascii="Times New Roman" w:hAnsi="Times New Roman" w:eastAsia="仿宋_GB2312" w:cs="Times New Roman"/>
          <w:color w:val="auto"/>
          <w:sz w:val="32"/>
          <w:szCs w:val="32"/>
        </w:rPr>
        <w:t>为建设沿海</w:t>
      </w:r>
      <w:r>
        <w:rPr>
          <w:rFonts w:hint="default" w:ascii="Times New Roman" w:hAnsi="Times New Roman" w:eastAsia="仿宋_GB2312" w:cs="Times New Roman"/>
          <w:color w:val="auto"/>
          <w:sz w:val="32"/>
          <w:szCs w:val="32"/>
          <w:lang w:eastAsia="zh-CN"/>
        </w:rPr>
        <w:t>城市</w:t>
      </w:r>
      <w:r>
        <w:rPr>
          <w:rFonts w:hint="default" w:ascii="Times New Roman" w:hAnsi="Times New Roman" w:eastAsia="仿宋_GB2312" w:cs="Times New Roman"/>
          <w:color w:val="auto"/>
          <w:sz w:val="32"/>
          <w:szCs w:val="32"/>
        </w:rPr>
        <w:t>、美丽</w:t>
      </w:r>
      <w:r>
        <w:rPr>
          <w:rFonts w:hint="default" w:ascii="Times New Roman" w:hAnsi="Times New Roman" w:eastAsia="仿宋_GB2312" w:cs="Times New Roman"/>
          <w:color w:val="auto"/>
          <w:sz w:val="32"/>
          <w:szCs w:val="32"/>
          <w:lang w:eastAsia="zh-CN"/>
        </w:rPr>
        <w:t>关</w:t>
      </w:r>
      <w:r>
        <w:rPr>
          <w:rFonts w:hint="default" w:ascii="Times New Roman" w:hAnsi="Times New Roman" w:eastAsia="仿宋_GB2312" w:cs="Times New Roman"/>
          <w:color w:val="auto"/>
          <w:sz w:val="32"/>
          <w:szCs w:val="32"/>
        </w:rPr>
        <w:t>城</w:t>
      </w:r>
      <w:r>
        <w:rPr>
          <w:rFonts w:hint="default" w:ascii="Times New Roman" w:hAnsi="Times New Roman" w:eastAsia="仿宋_GB2312" w:cs="Times New Roman"/>
          <w:color w:val="auto"/>
          <w:sz w:val="32"/>
          <w:szCs w:val="32"/>
          <w:lang w:eastAsia="zh-CN"/>
        </w:rPr>
        <w:t>营造安全稳定</w:t>
      </w:r>
      <w:r>
        <w:rPr>
          <w:rFonts w:hint="default" w:ascii="Times New Roman" w:hAnsi="Times New Roman" w:eastAsia="仿宋_GB2312" w:cs="Times New Roman"/>
          <w:color w:val="auto"/>
          <w:sz w:val="32"/>
          <w:szCs w:val="32"/>
        </w:rPr>
        <w:t>的</w:t>
      </w:r>
      <w:r>
        <w:rPr>
          <w:rFonts w:hint="default" w:ascii="Times New Roman" w:hAnsi="Times New Roman" w:eastAsia="仿宋_GB2312" w:cs="Times New Roman"/>
          <w:color w:val="auto"/>
          <w:sz w:val="32"/>
          <w:szCs w:val="32"/>
          <w:lang w:eastAsia="zh-CN"/>
        </w:rPr>
        <w:t>社会</w:t>
      </w:r>
      <w:r>
        <w:rPr>
          <w:rFonts w:hint="default" w:ascii="Times New Roman" w:hAnsi="Times New Roman" w:eastAsia="仿宋_GB2312" w:cs="Times New Roman"/>
          <w:color w:val="auto"/>
          <w:sz w:val="32"/>
          <w:szCs w:val="32"/>
        </w:rPr>
        <w:t>环境。</w:t>
      </w:r>
    </w:p>
    <w:p w14:paraId="0CBD92E8">
      <w:pPr>
        <w:keepNext w:val="0"/>
        <w:keepLines w:val="0"/>
        <w:pageBreakBefore w:val="0"/>
        <w:kinsoku/>
        <w:wordWrap/>
        <w:overflowPunct/>
        <w:topLinePunct w:val="0"/>
        <w:autoSpaceDE/>
        <w:autoSpaceDN w:val="0"/>
        <w:bidi w:val="0"/>
        <w:adjustRightInd w:val="0"/>
        <w:snapToGrid w:val="0"/>
        <w:spacing w:line="560" w:lineRule="exact"/>
        <w:ind w:firstLine="640" w:firstLineChars="200"/>
        <w:textAlignment w:val="auto"/>
        <w:rPr>
          <w:rFonts w:eastAsia="黑体"/>
          <w:kern w:val="0"/>
          <w:sz w:val="32"/>
          <w:szCs w:val="32"/>
        </w:rPr>
      </w:pPr>
      <w:r>
        <w:rPr>
          <w:rFonts w:eastAsia="黑体"/>
          <w:kern w:val="0"/>
          <w:sz w:val="32"/>
          <w:szCs w:val="32"/>
        </w:rPr>
        <w:t>二、工作目标和重点任务</w:t>
      </w:r>
    </w:p>
    <w:p w14:paraId="6F52A39E">
      <w:pPr>
        <w:keepNext w:val="0"/>
        <w:keepLines w:val="0"/>
        <w:pageBreakBefore w:val="0"/>
        <w:widowControl/>
        <w:kinsoku/>
        <w:wordWrap/>
        <w:overflowPunct/>
        <w:topLinePunct w:val="0"/>
        <w:autoSpaceDE/>
        <w:bidi w:val="0"/>
        <w:spacing w:line="560" w:lineRule="exact"/>
        <w:ind w:firstLine="584"/>
        <w:jc w:val="left"/>
        <w:textAlignment w:val="auto"/>
        <w:rPr>
          <w:rFonts w:hint="eastAsia" w:eastAsia="楷体_GB2312"/>
          <w:b w:val="0"/>
          <w:bCs/>
          <w:kern w:val="0"/>
          <w:sz w:val="32"/>
          <w:szCs w:val="32"/>
          <w:lang w:val="zh-CN"/>
        </w:rPr>
      </w:pPr>
      <w:r>
        <w:rPr>
          <w:rFonts w:eastAsia="楷体_GB2312"/>
          <w:b w:val="0"/>
          <w:bCs/>
          <w:spacing w:val="-7"/>
          <w:kern w:val="0"/>
          <w:sz w:val="32"/>
          <w:szCs w:val="32"/>
        </w:rPr>
        <w:t>（一）工作目标</w:t>
      </w:r>
      <w:r>
        <w:rPr>
          <w:rFonts w:hint="eastAsia" w:eastAsia="楷体_GB2312"/>
          <w:b w:val="0"/>
          <w:bCs/>
          <w:spacing w:val="-7"/>
          <w:kern w:val="0"/>
          <w:sz w:val="32"/>
          <w:szCs w:val="32"/>
        </w:rPr>
        <w:t>。</w:t>
      </w:r>
    </w:p>
    <w:p w14:paraId="70C0CBF3">
      <w:pPr>
        <w:keepNext w:val="0"/>
        <w:keepLines w:val="0"/>
        <w:pageBreakBefore w:val="0"/>
        <w:widowControl/>
        <w:kinsoku/>
        <w:wordWrap/>
        <w:overflowPunct/>
        <w:topLinePunct w:val="0"/>
        <w:autoSpaceDE/>
        <w:bidi w:val="0"/>
        <w:spacing w:line="560" w:lineRule="exact"/>
        <w:ind w:firstLine="584"/>
        <w:jc w:val="left"/>
        <w:textAlignment w:val="auto"/>
        <w:rPr>
          <w:rFonts w:hint="eastAsia" w:ascii="仿宋_GB2312" w:hAnsi="仿宋_GB2312" w:eastAsia="仿宋_GB2312" w:cs="仿宋_GB2312"/>
          <w:spacing w:val="-7"/>
          <w:kern w:val="0"/>
          <w:sz w:val="32"/>
          <w:szCs w:val="32"/>
        </w:rPr>
      </w:pPr>
      <w:r>
        <w:rPr>
          <w:rFonts w:hint="eastAsia" w:ascii="仿宋_GB2312" w:hAnsi="仿宋_GB2312" w:eastAsia="仿宋_GB2312" w:cs="仿宋_GB2312"/>
          <w:spacing w:val="-7"/>
          <w:kern w:val="0"/>
          <w:sz w:val="32"/>
          <w:szCs w:val="32"/>
          <w:lang w:eastAsia="zh"/>
        </w:rPr>
        <w:t>各行业落实重点</w:t>
      </w:r>
      <w:r>
        <w:rPr>
          <w:rFonts w:hint="eastAsia" w:ascii="仿宋_GB2312" w:hAnsi="仿宋_GB2312" w:eastAsia="仿宋_GB2312" w:cs="仿宋_GB2312"/>
          <w:spacing w:val="-7"/>
          <w:kern w:val="0"/>
          <w:sz w:val="32"/>
          <w:szCs w:val="32"/>
        </w:rPr>
        <w:t>行业领域风险防控</w:t>
      </w:r>
      <w:r>
        <w:rPr>
          <w:rFonts w:hint="eastAsia" w:ascii="仿宋_GB2312" w:hAnsi="仿宋_GB2312" w:eastAsia="仿宋_GB2312" w:cs="仿宋_GB2312"/>
          <w:spacing w:val="-7"/>
          <w:kern w:val="0"/>
          <w:sz w:val="32"/>
          <w:szCs w:val="32"/>
          <w:lang w:eastAsia="zh"/>
        </w:rPr>
        <w:t>要求，</w:t>
      </w:r>
      <w:r>
        <w:rPr>
          <w:rFonts w:hint="eastAsia" w:ascii="仿宋_GB2312" w:hAnsi="仿宋_GB2312" w:eastAsia="仿宋_GB2312" w:cs="仿宋_GB2312"/>
          <w:spacing w:val="-7"/>
          <w:kern w:val="0"/>
          <w:sz w:val="32"/>
          <w:szCs w:val="32"/>
        </w:rPr>
        <w:t>对纳入检查范围的生产经营单位的监督检查覆盖率达到100%，对发现安全生产</w:t>
      </w:r>
      <w:r>
        <w:rPr>
          <w:rFonts w:hint="eastAsia" w:ascii="仿宋_GB2312" w:hAnsi="仿宋_GB2312" w:eastAsia="仿宋_GB2312" w:cs="仿宋_GB2312"/>
          <w:bCs/>
          <w:sz w:val="32"/>
          <w:szCs w:val="32"/>
        </w:rPr>
        <w:t>违法行为查处率达到100%，对发现的问题隐患督促整改率达到100%，对直接实施安全生产行政处罚的案件办结率达到100%。</w:t>
      </w:r>
    </w:p>
    <w:p w14:paraId="4FBD4A8B">
      <w:pPr>
        <w:keepNext w:val="0"/>
        <w:keepLines w:val="0"/>
        <w:pageBreakBefore w:val="0"/>
        <w:widowControl/>
        <w:kinsoku/>
        <w:wordWrap/>
        <w:overflowPunct/>
        <w:topLinePunct w:val="0"/>
        <w:autoSpaceDE/>
        <w:bidi w:val="0"/>
        <w:spacing w:line="560" w:lineRule="exact"/>
        <w:ind w:firstLine="584"/>
        <w:jc w:val="left"/>
        <w:textAlignment w:val="auto"/>
        <w:rPr>
          <w:rFonts w:hint="eastAsia" w:ascii="仿宋_GB2312" w:hAnsi="仿宋_GB2312" w:eastAsia="仿宋_GB2312" w:cs="仿宋_GB2312"/>
          <w:spacing w:val="-7"/>
          <w:kern w:val="0"/>
          <w:sz w:val="32"/>
          <w:szCs w:val="32"/>
        </w:rPr>
      </w:pPr>
      <w:r>
        <w:rPr>
          <w:rFonts w:hint="eastAsia" w:eastAsia="仿宋_GB2312"/>
          <w:kern w:val="0"/>
          <w:sz w:val="32"/>
          <w:szCs w:val="32"/>
          <w:lang w:val="zh-CN"/>
        </w:rPr>
        <w:t>严格规范公正文明</w:t>
      </w:r>
      <w:r>
        <w:rPr>
          <w:rFonts w:hint="eastAsia" w:ascii="仿宋_GB2312" w:hAnsi="仿宋_GB2312" w:eastAsia="仿宋_GB2312" w:cs="仿宋_GB2312"/>
          <w:spacing w:val="-7"/>
          <w:kern w:val="0"/>
          <w:sz w:val="32"/>
          <w:szCs w:val="32"/>
          <w:lang w:eastAsia="zh"/>
        </w:rPr>
        <w:t>执法，案件办理全面实施</w:t>
      </w:r>
      <w:r>
        <w:rPr>
          <w:rFonts w:hint="eastAsia" w:ascii="仿宋_GB2312" w:hAnsi="仿宋_GB2312" w:eastAsia="仿宋_GB2312" w:cs="仿宋_GB2312"/>
          <w:spacing w:val="-7"/>
          <w:kern w:val="0"/>
          <w:sz w:val="32"/>
          <w:szCs w:val="32"/>
        </w:rPr>
        <w:t>安全生产行政执法公示、全过程记录和重大执法决定法制审核“三项制度”，杜绝行政决定被撤销或变更及行政应诉败诉。</w:t>
      </w:r>
    </w:p>
    <w:p w14:paraId="40A834AA">
      <w:pPr>
        <w:keepNext w:val="0"/>
        <w:keepLines w:val="0"/>
        <w:pageBreakBefore w:val="0"/>
        <w:widowControl/>
        <w:kinsoku/>
        <w:wordWrap/>
        <w:overflowPunct/>
        <w:topLinePunct w:val="0"/>
        <w:autoSpaceDE/>
        <w:bidi w:val="0"/>
        <w:spacing w:line="560" w:lineRule="exact"/>
        <w:ind w:firstLine="584"/>
        <w:jc w:val="left"/>
        <w:textAlignment w:val="auto"/>
        <w:rPr>
          <w:rFonts w:hint="eastAsia" w:ascii="仿宋_GB2312" w:hAnsi="仿宋_GB2312" w:eastAsia="仿宋_GB2312" w:cs="仿宋_GB2312"/>
          <w:spacing w:val="-7"/>
          <w:kern w:val="0"/>
          <w:sz w:val="32"/>
          <w:szCs w:val="32"/>
        </w:rPr>
      </w:pPr>
      <w:r>
        <w:rPr>
          <w:rFonts w:hint="eastAsia" w:ascii="仿宋_GB2312" w:hAnsi="仿宋_GB2312" w:eastAsia="仿宋_GB2312" w:cs="仿宋_GB2312"/>
          <w:spacing w:val="-7"/>
          <w:kern w:val="0"/>
          <w:sz w:val="32"/>
          <w:szCs w:val="32"/>
        </w:rPr>
        <w:t>贯彻落实应急管理部信息化工作部署，提高执法检查的信息化、规范化、精准化水平，202</w:t>
      </w:r>
      <w:r>
        <w:rPr>
          <w:rFonts w:hint="eastAsia" w:ascii="仿宋_GB2312" w:hAnsi="仿宋_GB2312" w:eastAsia="仿宋_GB2312" w:cs="仿宋_GB2312"/>
          <w:spacing w:val="-7"/>
          <w:kern w:val="0"/>
          <w:sz w:val="32"/>
          <w:szCs w:val="32"/>
          <w:lang w:val="en-US" w:eastAsia="zh-CN"/>
        </w:rPr>
        <w:t>5</w:t>
      </w:r>
      <w:r>
        <w:rPr>
          <w:rFonts w:hint="eastAsia" w:ascii="仿宋_GB2312" w:hAnsi="仿宋_GB2312" w:eastAsia="仿宋_GB2312" w:cs="仿宋_GB2312"/>
          <w:spacing w:val="-7"/>
          <w:kern w:val="0"/>
          <w:sz w:val="32"/>
          <w:szCs w:val="32"/>
        </w:rPr>
        <w:t>年全面使用“互联网+执法”系统及“双随机</w:t>
      </w:r>
      <w:bookmarkStart w:id="0" w:name="_GoBack"/>
      <w:bookmarkEnd w:id="0"/>
      <w:r>
        <w:rPr>
          <w:rFonts w:hint="eastAsia" w:ascii="仿宋_GB2312" w:hAnsi="仿宋_GB2312" w:eastAsia="仿宋_GB2312" w:cs="仿宋_GB2312"/>
          <w:spacing w:val="-7"/>
          <w:kern w:val="0"/>
          <w:sz w:val="32"/>
          <w:szCs w:val="32"/>
          <w:lang w:eastAsia="zh-CN"/>
        </w:rPr>
        <w:t>、</w:t>
      </w:r>
      <w:r>
        <w:rPr>
          <w:rFonts w:hint="eastAsia" w:ascii="仿宋_GB2312" w:hAnsi="仿宋_GB2312" w:eastAsia="仿宋_GB2312" w:cs="仿宋_GB2312"/>
          <w:spacing w:val="-7"/>
          <w:kern w:val="0"/>
          <w:sz w:val="32"/>
          <w:szCs w:val="32"/>
        </w:rPr>
        <w:t>一公开”监管系统。</w:t>
      </w:r>
    </w:p>
    <w:p w14:paraId="00426669">
      <w:pPr>
        <w:keepNext w:val="0"/>
        <w:keepLines w:val="0"/>
        <w:pageBreakBefore w:val="0"/>
        <w:kinsoku/>
        <w:wordWrap/>
        <w:overflowPunct/>
        <w:topLinePunct w:val="0"/>
        <w:autoSpaceDE/>
        <w:autoSpaceDN w:val="0"/>
        <w:bidi w:val="0"/>
        <w:adjustRightInd w:val="0"/>
        <w:snapToGrid w:val="0"/>
        <w:spacing w:line="560" w:lineRule="exact"/>
        <w:ind w:firstLine="640" w:firstLineChars="200"/>
        <w:textAlignment w:val="auto"/>
        <w:rPr>
          <w:rFonts w:hint="eastAsia" w:eastAsia="仿宋_GB2312"/>
          <w:sz w:val="32"/>
          <w:szCs w:val="32"/>
        </w:rPr>
      </w:pPr>
      <w:r>
        <w:rPr>
          <w:rFonts w:hint="eastAsia" w:eastAsia="楷体_GB2312"/>
          <w:b w:val="0"/>
          <w:bCs/>
          <w:kern w:val="0"/>
          <w:sz w:val="32"/>
          <w:szCs w:val="32"/>
        </w:rPr>
        <w:t>（二）</w:t>
      </w:r>
      <w:r>
        <w:rPr>
          <w:rFonts w:eastAsia="楷体_GB2312"/>
          <w:b w:val="0"/>
          <w:bCs/>
          <w:kern w:val="0"/>
          <w:sz w:val="32"/>
          <w:szCs w:val="32"/>
        </w:rPr>
        <w:t>重点任务</w:t>
      </w:r>
      <w:r>
        <w:rPr>
          <w:rFonts w:hint="eastAsia" w:eastAsia="楷体_GB2312"/>
          <w:b w:val="0"/>
          <w:bCs/>
          <w:kern w:val="0"/>
          <w:sz w:val="32"/>
          <w:szCs w:val="32"/>
        </w:rPr>
        <w:t>。</w:t>
      </w:r>
      <w:r>
        <w:rPr>
          <w:rFonts w:hint="default" w:ascii="Times New Roman" w:hAnsi="Times New Roman" w:eastAsia="仿宋_GB2312" w:cs="Times New Roman"/>
          <w:color w:val="000000"/>
          <w:kern w:val="0"/>
          <w:sz w:val="32"/>
          <w:szCs w:val="32"/>
        </w:rPr>
        <w:t>依据全省年度安全生产工作要点，确定</w:t>
      </w:r>
      <w:r>
        <w:rPr>
          <w:rFonts w:hint="default" w:ascii="Times New Roman" w:hAnsi="Times New Roman" w:eastAsia="仿宋_GB2312" w:cs="Times New Roman"/>
          <w:color w:val="000000"/>
          <w:kern w:val="0"/>
          <w:sz w:val="32"/>
          <w:szCs w:val="32"/>
          <w:lang w:eastAsia="zh-CN"/>
        </w:rPr>
        <w:t>两</w:t>
      </w:r>
      <w:r>
        <w:rPr>
          <w:rFonts w:hint="default" w:ascii="Times New Roman" w:hAnsi="Times New Roman" w:eastAsia="仿宋_GB2312" w:cs="Times New Roman"/>
          <w:color w:val="000000"/>
          <w:kern w:val="0"/>
          <w:sz w:val="32"/>
          <w:szCs w:val="32"/>
        </w:rPr>
        <w:t>个方面重点任务。</w:t>
      </w:r>
      <w:r>
        <w:rPr>
          <w:rFonts w:hint="default" w:ascii="Times New Roman" w:hAnsi="Times New Roman" w:eastAsia="仿宋_GB2312" w:cs="Times New Roman"/>
          <w:b/>
          <w:color w:val="000000"/>
          <w:sz w:val="32"/>
          <w:szCs w:val="32"/>
        </w:rPr>
        <w:t>一是</w:t>
      </w:r>
      <w:r>
        <w:rPr>
          <w:rFonts w:hint="default" w:ascii="Times New Roman" w:hAnsi="Times New Roman" w:eastAsia="仿宋_GB2312" w:cs="Times New Roman"/>
          <w:color w:val="000000"/>
          <w:sz w:val="32"/>
          <w:szCs w:val="32"/>
          <w:lang w:eastAsia="zh-CN"/>
        </w:rPr>
        <w:t>围绕重点检查事项清单，瞄准重大隐患和第一责任人等“关键少数”，对重点企业开展精准执法检查，提升企业安全管理水平，</w:t>
      </w:r>
      <w:r>
        <w:rPr>
          <w:rFonts w:hint="default" w:ascii="Times New Roman" w:hAnsi="Times New Roman" w:eastAsia="仿宋_GB2312" w:cs="Times New Roman"/>
          <w:color w:val="000000"/>
          <w:sz w:val="32"/>
          <w:szCs w:val="32"/>
        </w:rPr>
        <w:t>有效防控重大安全风险。</w:t>
      </w:r>
      <w:r>
        <w:rPr>
          <w:rFonts w:hint="default" w:ascii="Times New Roman" w:hAnsi="Times New Roman" w:eastAsia="仿宋_GB2312" w:cs="Times New Roman"/>
          <w:b/>
          <w:color w:val="000000"/>
          <w:sz w:val="32"/>
          <w:szCs w:val="32"/>
        </w:rPr>
        <w:t>二是</w:t>
      </w:r>
      <w:r>
        <w:rPr>
          <w:rFonts w:hint="default" w:ascii="Times New Roman" w:hAnsi="Times New Roman" w:eastAsia="仿宋_GB2312" w:cs="Times New Roman"/>
          <w:b w:val="0"/>
          <w:bCs/>
          <w:color w:val="000000"/>
          <w:sz w:val="32"/>
          <w:szCs w:val="32"/>
          <w:lang w:eastAsia="zh"/>
        </w:rPr>
        <w:t>围绕</w:t>
      </w:r>
      <w:r>
        <w:rPr>
          <w:rFonts w:hint="default" w:ascii="Times New Roman" w:hAnsi="Times New Roman" w:eastAsia="仿宋_GB2312" w:cs="Times New Roman"/>
          <w:b w:val="0"/>
          <w:bCs/>
          <w:color w:val="000000"/>
          <w:sz w:val="32"/>
          <w:szCs w:val="32"/>
        </w:rPr>
        <w:t>重大危险源点、</w:t>
      </w:r>
      <w:r>
        <w:rPr>
          <w:rFonts w:hint="default" w:ascii="Times New Roman" w:hAnsi="Times New Roman" w:eastAsia="仿宋_GB2312" w:cs="Times New Roman"/>
          <w:color w:val="000000"/>
          <w:sz w:val="32"/>
          <w:szCs w:val="32"/>
        </w:rPr>
        <w:t>重点作业环节、重要作业行为，精心安排</w:t>
      </w:r>
      <w:r>
        <w:rPr>
          <w:rFonts w:hint="default" w:ascii="Times New Roman" w:hAnsi="Times New Roman" w:eastAsia="仿宋_GB2312" w:cs="Times New Roman"/>
          <w:color w:val="000000"/>
          <w:sz w:val="32"/>
          <w:szCs w:val="32"/>
          <w:lang w:eastAsia="zh-CN"/>
        </w:rPr>
        <w:t>暑期、</w:t>
      </w:r>
      <w:r>
        <w:rPr>
          <w:rFonts w:hint="default" w:ascii="Times New Roman" w:hAnsi="Times New Roman" w:eastAsia="仿宋_GB2312" w:cs="Times New Roman"/>
          <w:color w:val="000000"/>
          <w:sz w:val="32"/>
          <w:szCs w:val="32"/>
        </w:rPr>
        <w:t>国庆</w:t>
      </w:r>
      <w:r>
        <w:rPr>
          <w:rFonts w:hint="default" w:ascii="Times New Roman" w:hAnsi="Times New Roman" w:eastAsia="仿宋_GB2312" w:cs="Times New Roman"/>
          <w:color w:val="000000"/>
          <w:sz w:val="32"/>
          <w:szCs w:val="32"/>
          <w:lang w:eastAsia="zh-CN"/>
        </w:rPr>
        <w:t>节</w:t>
      </w:r>
      <w:r>
        <w:rPr>
          <w:rFonts w:hint="default" w:ascii="Times New Roman" w:hAnsi="Times New Roman" w:eastAsia="仿宋_GB2312" w:cs="Times New Roman"/>
          <w:color w:val="000000"/>
          <w:sz w:val="32"/>
          <w:szCs w:val="32"/>
        </w:rPr>
        <w:t>等重要时期的专项执法检查</w:t>
      </w:r>
      <w:r>
        <w:rPr>
          <w:rFonts w:hint="default" w:ascii="Times New Roman" w:hAnsi="Times New Roman" w:eastAsia="仿宋_GB2312" w:cs="Times New Roman"/>
          <w:color w:val="000000"/>
          <w:sz w:val="32"/>
          <w:szCs w:val="32"/>
          <w:lang w:eastAsia="zh-CN"/>
        </w:rPr>
        <w:t>，推动安全生产各项防范措施落实，</w:t>
      </w:r>
      <w:r>
        <w:rPr>
          <w:rFonts w:hint="default" w:ascii="Times New Roman" w:hAnsi="Times New Roman" w:eastAsia="仿宋_GB2312" w:cs="Times New Roman"/>
          <w:color w:val="000000"/>
          <w:sz w:val="32"/>
          <w:szCs w:val="32"/>
        </w:rPr>
        <w:t>确保重要时期安全稳定。</w:t>
      </w:r>
    </w:p>
    <w:p w14:paraId="4F1987AB">
      <w:pPr>
        <w:keepNext w:val="0"/>
        <w:keepLines w:val="0"/>
        <w:pageBreakBefore w:val="0"/>
        <w:kinsoku/>
        <w:wordWrap/>
        <w:overflowPunct/>
        <w:topLinePunct w:val="0"/>
        <w:autoSpaceDE/>
        <w:autoSpaceDN w:val="0"/>
        <w:bidi w:val="0"/>
        <w:adjustRightInd w:val="0"/>
        <w:snapToGrid w:val="0"/>
        <w:spacing w:line="560" w:lineRule="exact"/>
        <w:ind w:firstLine="640" w:firstLineChars="200"/>
        <w:textAlignment w:val="auto"/>
        <w:rPr>
          <w:rFonts w:eastAsia="黑体"/>
          <w:kern w:val="0"/>
          <w:sz w:val="32"/>
          <w:szCs w:val="32"/>
        </w:rPr>
      </w:pPr>
      <w:r>
        <w:rPr>
          <w:rFonts w:eastAsia="黑体"/>
          <w:kern w:val="0"/>
          <w:sz w:val="32"/>
          <w:szCs w:val="32"/>
        </w:rPr>
        <w:t>三、执法检查安排</w:t>
      </w:r>
    </w:p>
    <w:p w14:paraId="4A251073">
      <w:pPr>
        <w:keepNext w:val="0"/>
        <w:keepLines w:val="0"/>
        <w:pageBreakBefore w:val="0"/>
        <w:kinsoku/>
        <w:wordWrap/>
        <w:overflowPunct/>
        <w:topLinePunct w:val="0"/>
        <w:autoSpaceDE/>
        <w:autoSpaceDN w:val="0"/>
        <w:bidi w:val="0"/>
        <w:adjustRightInd w:val="0"/>
        <w:snapToGrid w:val="0"/>
        <w:spacing w:line="560" w:lineRule="exact"/>
        <w:ind w:firstLine="640" w:firstLineChars="200"/>
        <w:textAlignment w:val="auto"/>
        <w:rPr>
          <w:rFonts w:hint="eastAsia" w:eastAsia="仿宋_GB2312"/>
          <w:color w:val="FF0000"/>
          <w:sz w:val="32"/>
          <w:szCs w:val="32"/>
        </w:rPr>
      </w:pPr>
      <w:r>
        <w:rPr>
          <w:rFonts w:eastAsia="楷体_GB2312"/>
          <w:b w:val="0"/>
          <w:bCs/>
          <w:kern w:val="0"/>
          <w:sz w:val="32"/>
          <w:szCs w:val="32"/>
        </w:rPr>
        <w:t>（一）执法检查范围。</w:t>
      </w:r>
      <w:r>
        <w:rPr>
          <w:rFonts w:eastAsia="仿宋_GB2312"/>
          <w:sz w:val="32"/>
          <w:szCs w:val="32"/>
        </w:rPr>
        <w:t>根据年度重点工作任务安排和</w:t>
      </w:r>
      <w:r>
        <w:rPr>
          <w:rFonts w:eastAsia="仿宋_GB2312"/>
          <w:kern w:val="0"/>
          <w:sz w:val="32"/>
          <w:szCs w:val="32"/>
        </w:rPr>
        <w:t>执法检查工作日测算（见附件1），</w:t>
      </w:r>
      <w:r>
        <w:rPr>
          <w:rFonts w:eastAsia="仿宋_GB2312"/>
          <w:sz w:val="32"/>
          <w:szCs w:val="32"/>
        </w:rPr>
        <w:t>确定执法检查企业</w:t>
      </w:r>
      <w:r>
        <w:rPr>
          <w:rFonts w:hint="eastAsia" w:eastAsia="仿宋_GB2312"/>
          <w:sz w:val="32"/>
          <w:szCs w:val="32"/>
          <w:lang w:val="en-US" w:eastAsia="zh-CN"/>
        </w:rPr>
        <w:t>50</w:t>
      </w:r>
      <w:r>
        <w:rPr>
          <w:rFonts w:eastAsia="仿宋_GB2312"/>
          <w:sz w:val="32"/>
          <w:szCs w:val="32"/>
        </w:rPr>
        <w:t>家。其中，重点检查企业</w:t>
      </w:r>
      <w:r>
        <w:rPr>
          <w:rFonts w:hint="eastAsia" w:eastAsia="仿宋_GB2312"/>
          <w:sz w:val="32"/>
          <w:szCs w:val="32"/>
          <w:lang w:val="en-US" w:eastAsia="zh-CN"/>
        </w:rPr>
        <w:t>32</w:t>
      </w:r>
      <w:r>
        <w:rPr>
          <w:rFonts w:eastAsia="仿宋_GB2312"/>
          <w:sz w:val="32"/>
          <w:szCs w:val="32"/>
        </w:rPr>
        <w:t>家，占执法检查企业数量的</w:t>
      </w:r>
      <w:r>
        <w:rPr>
          <w:rFonts w:hint="eastAsia" w:eastAsia="仿宋_GB2312"/>
          <w:sz w:val="32"/>
          <w:szCs w:val="32"/>
        </w:rPr>
        <w:t>6</w:t>
      </w:r>
      <w:r>
        <w:rPr>
          <w:rFonts w:hint="eastAsia" w:eastAsia="仿宋_GB2312"/>
          <w:sz w:val="32"/>
          <w:szCs w:val="32"/>
          <w:lang w:val="en-US" w:eastAsia="zh-CN"/>
        </w:rPr>
        <w:t>4</w:t>
      </w:r>
      <w:r>
        <w:rPr>
          <w:rFonts w:eastAsia="仿宋_GB2312"/>
          <w:sz w:val="32"/>
          <w:szCs w:val="32"/>
        </w:rPr>
        <w:t>%；</w:t>
      </w:r>
      <w:r>
        <w:rPr>
          <w:rFonts w:hint="eastAsia" w:eastAsia="仿宋_GB2312"/>
          <w:sz w:val="32"/>
          <w:szCs w:val="32"/>
        </w:rPr>
        <w:t>使用</w:t>
      </w:r>
      <w:r>
        <w:rPr>
          <w:rFonts w:hint="eastAsia" w:eastAsia="仿宋_GB2312"/>
          <w:sz w:val="32"/>
          <w:szCs w:val="32"/>
          <w:lang w:eastAsia="zh-CN"/>
        </w:rPr>
        <w:t>“双随机、一公开”</w:t>
      </w:r>
      <w:r>
        <w:rPr>
          <w:rFonts w:hint="eastAsia" w:eastAsia="仿宋_GB2312"/>
          <w:sz w:val="32"/>
          <w:szCs w:val="32"/>
        </w:rPr>
        <w:t>监管系统</w:t>
      </w:r>
      <w:r>
        <w:rPr>
          <w:rFonts w:eastAsia="仿宋_GB2312"/>
          <w:sz w:val="32"/>
          <w:szCs w:val="32"/>
        </w:rPr>
        <w:t>随机抽查企业</w:t>
      </w:r>
      <w:r>
        <w:rPr>
          <w:rFonts w:hint="eastAsia" w:eastAsia="仿宋_GB2312"/>
          <w:sz w:val="32"/>
          <w:szCs w:val="32"/>
          <w:lang w:val="en-US" w:eastAsia="zh-CN"/>
        </w:rPr>
        <w:t>18</w:t>
      </w:r>
      <w:r>
        <w:rPr>
          <w:rFonts w:eastAsia="仿宋_GB2312"/>
          <w:sz w:val="32"/>
          <w:szCs w:val="32"/>
        </w:rPr>
        <w:t>家，占执法检查企业数量的</w:t>
      </w:r>
      <w:r>
        <w:rPr>
          <w:rFonts w:hint="eastAsia" w:eastAsia="仿宋_GB2312"/>
          <w:sz w:val="32"/>
          <w:szCs w:val="32"/>
        </w:rPr>
        <w:t>3</w:t>
      </w:r>
      <w:r>
        <w:rPr>
          <w:rFonts w:hint="eastAsia" w:eastAsia="仿宋_GB2312"/>
          <w:sz w:val="32"/>
          <w:szCs w:val="32"/>
          <w:lang w:val="en-US" w:eastAsia="zh-CN"/>
        </w:rPr>
        <w:t>6</w:t>
      </w:r>
      <w:r>
        <w:rPr>
          <w:rFonts w:eastAsia="仿宋_GB2312"/>
          <w:sz w:val="32"/>
          <w:szCs w:val="32"/>
        </w:rPr>
        <w:t>%。</w:t>
      </w:r>
    </w:p>
    <w:p w14:paraId="1601D489">
      <w:pPr>
        <w:keepNext w:val="0"/>
        <w:keepLines w:val="0"/>
        <w:pageBreakBefore w:val="0"/>
        <w:kinsoku/>
        <w:wordWrap/>
        <w:overflowPunct/>
        <w:topLinePunct w:val="0"/>
        <w:autoSpaceDE/>
        <w:autoSpaceDN w:val="0"/>
        <w:bidi w:val="0"/>
        <w:adjustRightInd w:val="0"/>
        <w:snapToGrid w:val="0"/>
        <w:spacing w:line="560" w:lineRule="exact"/>
        <w:ind w:firstLine="643" w:firstLineChars="200"/>
        <w:textAlignment w:val="auto"/>
        <w:rPr>
          <w:rFonts w:eastAsia="仿宋_GB2312"/>
          <w:color w:val="FF0000"/>
          <w:sz w:val="32"/>
          <w:szCs w:val="32"/>
        </w:rPr>
      </w:pPr>
      <w:r>
        <w:rPr>
          <w:rFonts w:hint="eastAsia" w:eastAsia="仿宋_GB2312"/>
          <w:b/>
          <w:bCs/>
          <w:sz w:val="32"/>
          <w:szCs w:val="32"/>
          <w:lang w:val="en-US" w:eastAsia="zh-CN"/>
        </w:rPr>
        <w:t>1</w:t>
      </w:r>
      <w:r>
        <w:rPr>
          <w:rFonts w:eastAsia="仿宋_GB2312"/>
          <w:b/>
          <w:bCs/>
          <w:sz w:val="32"/>
          <w:szCs w:val="32"/>
        </w:rPr>
        <w:t>.危险化学品（烟花爆竹）。</w:t>
      </w:r>
      <w:r>
        <w:rPr>
          <w:rFonts w:eastAsia="仿宋_GB2312"/>
          <w:sz w:val="32"/>
          <w:szCs w:val="32"/>
        </w:rPr>
        <w:t>重点检查</w:t>
      </w:r>
      <w:r>
        <w:rPr>
          <w:rFonts w:hint="eastAsia" w:eastAsia="仿宋_GB2312"/>
          <w:sz w:val="32"/>
          <w:szCs w:val="32"/>
          <w:lang w:val="en-US" w:eastAsia="zh-CN"/>
        </w:rPr>
        <w:t>8</w:t>
      </w:r>
      <w:r>
        <w:rPr>
          <w:rFonts w:eastAsia="仿宋_GB2312"/>
          <w:sz w:val="32"/>
          <w:szCs w:val="32"/>
        </w:rPr>
        <w:t>家。</w:t>
      </w:r>
    </w:p>
    <w:p w14:paraId="04781949">
      <w:pPr>
        <w:keepNext w:val="0"/>
        <w:keepLines w:val="0"/>
        <w:pageBreakBefore w:val="0"/>
        <w:kinsoku/>
        <w:wordWrap/>
        <w:overflowPunct/>
        <w:topLinePunct w:val="0"/>
        <w:autoSpaceDE/>
        <w:autoSpaceDN w:val="0"/>
        <w:bidi w:val="0"/>
        <w:adjustRightInd w:val="0"/>
        <w:snapToGrid w:val="0"/>
        <w:spacing w:line="560" w:lineRule="exact"/>
        <w:ind w:firstLine="643" w:firstLineChars="200"/>
        <w:textAlignment w:val="auto"/>
        <w:rPr>
          <w:rFonts w:eastAsia="仿宋_GB2312"/>
          <w:kern w:val="0"/>
          <w:sz w:val="32"/>
          <w:szCs w:val="32"/>
        </w:rPr>
      </w:pPr>
      <w:r>
        <w:rPr>
          <w:rFonts w:hint="eastAsia" w:eastAsia="仿宋_GB2312"/>
          <w:b/>
          <w:bCs/>
          <w:sz w:val="32"/>
          <w:szCs w:val="32"/>
          <w:lang w:val="en-US" w:eastAsia="zh-CN"/>
        </w:rPr>
        <w:t>2</w:t>
      </w:r>
      <w:r>
        <w:rPr>
          <w:rFonts w:eastAsia="仿宋_GB2312"/>
          <w:b/>
          <w:bCs/>
          <w:sz w:val="32"/>
          <w:szCs w:val="32"/>
        </w:rPr>
        <w:t>.工商贸行业。</w:t>
      </w:r>
      <w:r>
        <w:rPr>
          <w:rFonts w:eastAsia="仿宋_GB2312"/>
          <w:bCs/>
          <w:kern w:val="0"/>
          <w:sz w:val="32"/>
          <w:szCs w:val="32"/>
        </w:rPr>
        <w:t>重点检查冶金、涉爆粉尘、涉有限空间作业企业。重点检查</w:t>
      </w:r>
      <w:r>
        <w:rPr>
          <w:rFonts w:hint="eastAsia" w:eastAsia="仿宋_GB2312"/>
          <w:bCs/>
          <w:kern w:val="0"/>
          <w:sz w:val="32"/>
          <w:szCs w:val="32"/>
          <w:lang w:val="en-US" w:eastAsia="zh-CN"/>
        </w:rPr>
        <w:t>24</w:t>
      </w:r>
      <w:r>
        <w:rPr>
          <w:rFonts w:eastAsia="仿宋_GB2312"/>
          <w:bCs/>
          <w:kern w:val="0"/>
          <w:sz w:val="32"/>
          <w:szCs w:val="32"/>
        </w:rPr>
        <w:t>家，</w:t>
      </w:r>
      <w:r>
        <w:rPr>
          <w:rFonts w:eastAsia="仿宋_GB2312"/>
          <w:kern w:val="0"/>
          <w:sz w:val="32"/>
          <w:szCs w:val="32"/>
        </w:rPr>
        <w:t>随机抽查</w:t>
      </w:r>
      <w:r>
        <w:rPr>
          <w:rFonts w:hint="eastAsia" w:eastAsia="仿宋_GB2312"/>
          <w:kern w:val="0"/>
          <w:sz w:val="32"/>
          <w:szCs w:val="32"/>
          <w:lang w:val="en-US" w:eastAsia="zh-CN"/>
        </w:rPr>
        <w:t>18</w:t>
      </w:r>
      <w:r>
        <w:rPr>
          <w:rFonts w:eastAsia="仿宋_GB2312"/>
          <w:kern w:val="0"/>
          <w:sz w:val="32"/>
          <w:szCs w:val="32"/>
        </w:rPr>
        <w:t>家。</w:t>
      </w:r>
    </w:p>
    <w:p w14:paraId="4403A66C">
      <w:pPr>
        <w:keepNext w:val="0"/>
        <w:keepLines w:val="0"/>
        <w:pageBreakBefore w:val="0"/>
        <w:kinsoku/>
        <w:wordWrap/>
        <w:overflowPunct/>
        <w:topLinePunct w:val="0"/>
        <w:autoSpaceDE/>
        <w:autoSpaceDN w:val="0"/>
        <w:bidi w:val="0"/>
        <w:adjustRightInd w:val="0"/>
        <w:snapToGrid w:val="0"/>
        <w:spacing w:line="560" w:lineRule="exact"/>
        <w:ind w:firstLine="640" w:firstLineChars="200"/>
        <w:textAlignment w:val="auto"/>
        <w:rPr>
          <w:rFonts w:eastAsia="仿宋_GB2312"/>
          <w:kern w:val="0"/>
          <w:sz w:val="32"/>
          <w:szCs w:val="32"/>
        </w:rPr>
      </w:pPr>
      <w:r>
        <w:rPr>
          <w:rFonts w:eastAsia="楷体_GB2312"/>
          <w:b w:val="0"/>
          <w:bCs/>
          <w:kern w:val="0"/>
          <w:sz w:val="32"/>
          <w:szCs w:val="32"/>
        </w:rPr>
        <w:t>（二）执法检查内容。</w:t>
      </w:r>
      <w:r>
        <w:rPr>
          <w:rFonts w:eastAsia="仿宋_GB2312"/>
          <w:kern w:val="0"/>
          <w:sz w:val="32"/>
          <w:szCs w:val="32"/>
        </w:rPr>
        <w:t>专项执法检查内容见各行业执法检查计划安排，共性内容主要包括以下</w:t>
      </w:r>
      <w:r>
        <w:rPr>
          <w:rFonts w:hint="eastAsia" w:eastAsia="仿宋_GB2312"/>
          <w:kern w:val="0"/>
          <w:sz w:val="32"/>
          <w:szCs w:val="32"/>
        </w:rPr>
        <w:t>11</w:t>
      </w:r>
      <w:r>
        <w:rPr>
          <w:rFonts w:eastAsia="仿宋_GB2312"/>
          <w:kern w:val="0"/>
          <w:sz w:val="32"/>
          <w:szCs w:val="32"/>
        </w:rPr>
        <w:t>个方面</w:t>
      </w:r>
      <w:r>
        <w:rPr>
          <w:rFonts w:hint="eastAsia" w:ascii="仿宋_GB2312" w:hAnsi="仿宋_GB2312" w:eastAsia="仿宋_GB2312" w:cs="仿宋_GB2312"/>
          <w:kern w:val="0"/>
          <w:sz w:val="32"/>
          <w:szCs w:val="32"/>
        </w:rPr>
        <w:t>：</w:t>
      </w:r>
      <w:r>
        <w:rPr>
          <w:rFonts w:eastAsia="仿宋_GB2312"/>
          <w:kern w:val="0"/>
          <w:sz w:val="32"/>
          <w:szCs w:val="32"/>
        </w:rPr>
        <w:t xml:space="preserve"> </w:t>
      </w:r>
    </w:p>
    <w:p w14:paraId="168F1EF7">
      <w:pPr>
        <w:keepNext w:val="0"/>
        <w:keepLines w:val="0"/>
        <w:pageBreakBefore w:val="0"/>
        <w:kinsoku/>
        <w:wordWrap/>
        <w:overflowPunct/>
        <w:topLinePunct w:val="0"/>
        <w:autoSpaceDE/>
        <w:autoSpaceDN w:val="0"/>
        <w:bidi w:val="0"/>
        <w:adjustRightInd w:val="0"/>
        <w:snapToGrid w:val="0"/>
        <w:spacing w:line="560" w:lineRule="exact"/>
        <w:ind w:firstLine="643" w:firstLineChars="200"/>
        <w:textAlignment w:val="auto"/>
        <w:rPr>
          <w:rFonts w:eastAsia="仿宋_GB2312"/>
          <w:kern w:val="0"/>
          <w:sz w:val="32"/>
          <w:szCs w:val="32"/>
        </w:rPr>
      </w:pPr>
      <w:r>
        <w:rPr>
          <w:rFonts w:eastAsia="仿宋_GB2312"/>
          <w:b/>
          <w:kern w:val="0"/>
          <w:sz w:val="32"/>
          <w:szCs w:val="32"/>
        </w:rPr>
        <w:t>1.主要负责人履职尽责情况。</w:t>
      </w:r>
      <w:r>
        <w:rPr>
          <w:rFonts w:eastAsia="仿宋_GB2312"/>
          <w:spacing w:val="-4"/>
          <w:sz w:val="32"/>
          <w:szCs w:val="32"/>
        </w:rPr>
        <w:t>企业</w:t>
      </w:r>
      <w:r>
        <w:rPr>
          <w:rFonts w:eastAsia="仿宋_GB2312"/>
          <w:kern w:val="0"/>
          <w:sz w:val="32"/>
          <w:szCs w:val="32"/>
        </w:rPr>
        <w:t>主要负责人依据《</w:t>
      </w:r>
      <w:r>
        <w:rPr>
          <w:rFonts w:hint="eastAsia" w:eastAsia="仿宋_GB2312"/>
          <w:kern w:val="0"/>
          <w:sz w:val="32"/>
          <w:szCs w:val="32"/>
          <w:lang w:eastAsia="zh-CN"/>
        </w:rPr>
        <w:t>中华人民共和国安全生产法</w:t>
      </w:r>
      <w:r>
        <w:rPr>
          <w:rFonts w:eastAsia="仿宋_GB2312"/>
          <w:kern w:val="0"/>
          <w:sz w:val="32"/>
          <w:szCs w:val="32"/>
        </w:rPr>
        <w:t>》的规定履行法定职责情况，重点是建立并落实全员安全生产责任制情况，安全生产管理制度建设情况，组织开展隐患排查治理情况，实施风险辨识和管控检查情况。</w:t>
      </w:r>
    </w:p>
    <w:p w14:paraId="3EB1EE01">
      <w:pPr>
        <w:keepNext w:val="0"/>
        <w:keepLines w:val="0"/>
        <w:pageBreakBefore w:val="0"/>
        <w:kinsoku/>
        <w:wordWrap/>
        <w:overflowPunct/>
        <w:topLinePunct w:val="0"/>
        <w:autoSpaceDE/>
        <w:autoSpaceDN w:val="0"/>
        <w:bidi w:val="0"/>
        <w:adjustRightInd w:val="0"/>
        <w:snapToGrid w:val="0"/>
        <w:spacing w:line="560" w:lineRule="exact"/>
        <w:ind w:firstLine="643" w:firstLineChars="200"/>
        <w:textAlignment w:val="auto"/>
        <w:rPr>
          <w:rFonts w:eastAsia="仿宋_GB2312"/>
          <w:kern w:val="0"/>
          <w:sz w:val="32"/>
          <w:szCs w:val="32"/>
        </w:rPr>
      </w:pPr>
      <w:r>
        <w:rPr>
          <w:rFonts w:eastAsia="仿宋_GB2312"/>
          <w:b/>
          <w:kern w:val="0"/>
          <w:sz w:val="32"/>
          <w:szCs w:val="32"/>
        </w:rPr>
        <w:t>2.双重预防机制建设情况。</w:t>
      </w:r>
      <w:r>
        <w:rPr>
          <w:rFonts w:eastAsia="仿宋_GB2312"/>
          <w:bCs/>
          <w:kern w:val="0"/>
          <w:sz w:val="32"/>
          <w:szCs w:val="32"/>
        </w:rPr>
        <w:t>企业</w:t>
      </w:r>
      <w:r>
        <w:rPr>
          <w:rFonts w:eastAsia="仿宋_GB2312"/>
          <w:kern w:val="0"/>
          <w:sz w:val="32"/>
          <w:szCs w:val="32"/>
        </w:rPr>
        <w:t>安全生产风险管控和隐患排查治理双重预防机制制度建设情况，采用技术、管理措施控制风险和开展隐患排查治理情况；按照重大事故隐患判定标准，排查</w:t>
      </w:r>
      <w:r>
        <w:rPr>
          <w:rFonts w:hint="eastAsia" w:eastAsia="仿宋_GB2312"/>
          <w:kern w:val="0"/>
          <w:sz w:val="32"/>
          <w:szCs w:val="32"/>
        </w:rPr>
        <w:t>整治</w:t>
      </w:r>
      <w:r>
        <w:rPr>
          <w:rFonts w:eastAsia="仿宋_GB2312"/>
          <w:kern w:val="0"/>
          <w:sz w:val="32"/>
          <w:szCs w:val="32"/>
        </w:rPr>
        <w:t>本单位重大事故隐患情况，对重大事故隐患治理措施组织开展评估等情况。</w:t>
      </w:r>
    </w:p>
    <w:p w14:paraId="37D2BD54">
      <w:pPr>
        <w:keepNext w:val="0"/>
        <w:keepLines w:val="0"/>
        <w:pageBreakBefore w:val="0"/>
        <w:kinsoku/>
        <w:wordWrap/>
        <w:overflowPunct/>
        <w:topLinePunct w:val="0"/>
        <w:autoSpaceDE/>
        <w:autoSpaceDN w:val="0"/>
        <w:bidi w:val="0"/>
        <w:adjustRightInd w:val="0"/>
        <w:snapToGrid w:val="0"/>
        <w:spacing w:line="560" w:lineRule="exact"/>
        <w:ind w:firstLine="643" w:firstLineChars="200"/>
        <w:textAlignment w:val="auto"/>
        <w:rPr>
          <w:rFonts w:eastAsia="仿宋_GB2312"/>
          <w:kern w:val="0"/>
          <w:sz w:val="32"/>
          <w:szCs w:val="32"/>
        </w:rPr>
      </w:pPr>
      <w:r>
        <w:rPr>
          <w:rFonts w:eastAsia="仿宋_GB2312"/>
          <w:b/>
          <w:kern w:val="0"/>
          <w:sz w:val="32"/>
          <w:szCs w:val="32"/>
        </w:rPr>
        <w:t>3.安全设施“三同时”落实情况。</w:t>
      </w:r>
      <w:r>
        <w:rPr>
          <w:rFonts w:eastAsia="仿宋_GB2312"/>
          <w:kern w:val="0"/>
          <w:sz w:val="32"/>
          <w:szCs w:val="32"/>
        </w:rPr>
        <w:t>落实建设项目安全设施“三同时”管理规定情况，安全设备的安装、使用、检测、维修、改造和报废符合安全技术标准情况，使用列入淘汰落后技术装备目录的工艺、设备情况。</w:t>
      </w:r>
    </w:p>
    <w:p w14:paraId="011C776B">
      <w:pPr>
        <w:keepNext w:val="0"/>
        <w:keepLines w:val="0"/>
        <w:pageBreakBefore w:val="0"/>
        <w:kinsoku/>
        <w:wordWrap/>
        <w:overflowPunct/>
        <w:topLinePunct w:val="0"/>
        <w:autoSpaceDE/>
        <w:autoSpaceDN w:val="0"/>
        <w:bidi w:val="0"/>
        <w:adjustRightInd w:val="0"/>
        <w:snapToGrid w:val="0"/>
        <w:spacing w:line="560" w:lineRule="exact"/>
        <w:ind w:firstLine="643" w:firstLineChars="200"/>
        <w:textAlignment w:val="auto"/>
        <w:rPr>
          <w:rFonts w:eastAsia="仿宋_GB2312"/>
          <w:kern w:val="0"/>
          <w:sz w:val="32"/>
          <w:szCs w:val="32"/>
        </w:rPr>
      </w:pPr>
      <w:r>
        <w:rPr>
          <w:rFonts w:eastAsia="仿宋_GB2312"/>
          <w:b/>
          <w:kern w:val="0"/>
          <w:sz w:val="32"/>
          <w:szCs w:val="32"/>
        </w:rPr>
        <w:t>4.安全生产教育培训落实情况。</w:t>
      </w:r>
      <w:r>
        <w:rPr>
          <w:rFonts w:eastAsia="仿宋_GB2312"/>
          <w:spacing w:val="-4"/>
          <w:sz w:val="32"/>
          <w:szCs w:val="32"/>
        </w:rPr>
        <w:t>企业</w:t>
      </w:r>
      <w:r>
        <w:rPr>
          <w:rFonts w:eastAsia="仿宋_GB2312"/>
          <w:kern w:val="0"/>
          <w:sz w:val="32"/>
          <w:szCs w:val="32"/>
        </w:rPr>
        <w:t>建立全员安全生产教育培训制度情况，对包括被派遣劳动者、实习生在内的所有从业人员进行安全生产教育和培训开展情况；矿山、危险化学品、金属冶炼企业主要负责人和安全生产管理人员、特种作业人员等“三类人员”考核及持证情况。</w:t>
      </w:r>
    </w:p>
    <w:p w14:paraId="2B87335A">
      <w:pPr>
        <w:keepNext w:val="0"/>
        <w:keepLines w:val="0"/>
        <w:pageBreakBefore w:val="0"/>
        <w:kinsoku/>
        <w:wordWrap/>
        <w:overflowPunct/>
        <w:topLinePunct w:val="0"/>
        <w:autoSpaceDE/>
        <w:autoSpaceDN w:val="0"/>
        <w:bidi w:val="0"/>
        <w:adjustRightInd w:val="0"/>
        <w:snapToGrid w:val="0"/>
        <w:spacing w:line="560" w:lineRule="exact"/>
        <w:ind w:firstLine="643" w:firstLineChars="200"/>
        <w:textAlignment w:val="auto"/>
        <w:rPr>
          <w:rFonts w:eastAsia="仿宋_GB2312"/>
          <w:kern w:val="0"/>
          <w:sz w:val="32"/>
          <w:szCs w:val="32"/>
        </w:rPr>
      </w:pPr>
      <w:r>
        <w:rPr>
          <w:rFonts w:eastAsia="仿宋_GB2312"/>
          <w:b/>
          <w:kern w:val="0"/>
          <w:sz w:val="32"/>
          <w:szCs w:val="32"/>
        </w:rPr>
        <w:t>5.现场作业安全管理落实情况。</w:t>
      </w:r>
      <w:r>
        <w:rPr>
          <w:rFonts w:eastAsia="仿宋_GB2312"/>
          <w:spacing w:val="-4"/>
          <w:sz w:val="32"/>
          <w:szCs w:val="32"/>
        </w:rPr>
        <w:t>企业</w:t>
      </w:r>
      <w:r>
        <w:rPr>
          <w:rFonts w:eastAsia="仿宋_GB2312"/>
          <w:kern w:val="0"/>
          <w:sz w:val="32"/>
          <w:szCs w:val="32"/>
        </w:rPr>
        <w:t>现场作业管理情况，从事危险化学品特殊作业、涉爆粉尘、有限空间、爆破、吊装及国家有关规定明确的危险作业时，安排专门人员进行现场安全管理情况；违章指挥、强令职工冒险作业情况。</w:t>
      </w:r>
    </w:p>
    <w:p w14:paraId="3C32A2B4">
      <w:pPr>
        <w:keepNext w:val="0"/>
        <w:keepLines w:val="0"/>
        <w:pageBreakBefore w:val="0"/>
        <w:kinsoku/>
        <w:wordWrap/>
        <w:overflowPunct/>
        <w:topLinePunct w:val="0"/>
        <w:autoSpaceDE/>
        <w:autoSpaceDN w:val="0"/>
        <w:bidi w:val="0"/>
        <w:adjustRightInd w:val="0"/>
        <w:snapToGrid w:val="0"/>
        <w:spacing w:line="560" w:lineRule="exact"/>
        <w:ind w:firstLine="643" w:firstLineChars="200"/>
        <w:textAlignment w:val="auto"/>
        <w:rPr>
          <w:rFonts w:eastAsia="黑体"/>
          <w:kern w:val="0"/>
          <w:sz w:val="32"/>
          <w:szCs w:val="32"/>
        </w:rPr>
      </w:pPr>
      <w:r>
        <w:rPr>
          <w:rFonts w:eastAsia="仿宋_GB2312"/>
          <w:b/>
          <w:kern w:val="0"/>
          <w:sz w:val="32"/>
          <w:szCs w:val="32"/>
        </w:rPr>
        <w:t>6.应急管理建设落实情况。</w:t>
      </w:r>
      <w:r>
        <w:rPr>
          <w:rFonts w:eastAsia="仿宋_GB2312"/>
          <w:spacing w:val="-4"/>
          <w:sz w:val="32"/>
          <w:szCs w:val="32"/>
        </w:rPr>
        <w:t>企业</w:t>
      </w:r>
      <w:r>
        <w:rPr>
          <w:rFonts w:eastAsia="仿宋_GB2312"/>
          <w:kern w:val="0"/>
          <w:sz w:val="32"/>
          <w:szCs w:val="32"/>
        </w:rPr>
        <w:t>按规定建立安全生产应急管理体系和应急救援组织情况，应急预案制定和组织应急预案培训演练情况。应急物资、装备配备情况以及进行经常性维护、保养情况；重大危险源进行辨识、登记建档，定期检测、评估、监控等情况。</w:t>
      </w:r>
    </w:p>
    <w:p w14:paraId="1E9AF029">
      <w:pPr>
        <w:keepNext w:val="0"/>
        <w:keepLines w:val="0"/>
        <w:pageBreakBefore w:val="0"/>
        <w:kinsoku/>
        <w:wordWrap/>
        <w:overflowPunct/>
        <w:topLinePunct w:val="0"/>
        <w:autoSpaceDE/>
        <w:autoSpaceDN w:val="0"/>
        <w:bidi w:val="0"/>
        <w:adjustRightInd w:val="0"/>
        <w:snapToGrid w:val="0"/>
        <w:spacing w:line="560" w:lineRule="exact"/>
        <w:ind w:firstLine="643" w:firstLineChars="200"/>
        <w:textAlignment w:val="auto"/>
        <w:rPr>
          <w:rFonts w:eastAsia="仿宋_GB2312"/>
          <w:kern w:val="0"/>
          <w:sz w:val="32"/>
          <w:szCs w:val="32"/>
        </w:rPr>
      </w:pPr>
      <w:r>
        <w:rPr>
          <w:rFonts w:eastAsia="仿宋_GB2312"/>
          <w:b/>
          <w:kern w:val="0"/>
          <w:sz w:val="32"/>
          <w:szCs w:val="32"/>
        </w:rPr>
        <w:t>7.取得安全生产许可后保持安全生产条件情况。</w:t>
      </w:r>
      <w:r>
        <w:rPr>
          <w:rFonts w:eastAsia="仿宋_GB2312"/>
          <w:spacing w:val="-4"/>
          <w:sz w:val="32"/>
          <w:szCs w:val="32"/>
        </w:rPr>
        <w:t>企业获得安全生产许可情况，</w:t>
      </w:r>
      <w:r>
        <w:rPr>
          <w:rFonts w:eastAsia="仿宋_GB2312"/>
          <w:kern w:val="0"/>
          <w:sz w:val="32"/>
          <w:szCs w:val="32"/>
        </w:rPr>
        <w:t>严格依照有关安全生产行政许可的范围、事项从事相关的生产经营活动情况，企业在取得行政许可后降低安全生产条件情况；转让、冒用或者使用伪造的安全生产许可情况。</w:t>
      </w:r>
    </w:p>
    <w:p w14:paraId="1BC71399">
      <w:pPr>
        <w:keepNext w:val="0"/>
        <w:keepLines w:val="0"/>
        <w:pageBreakBefore w:val="0"/>
        <w:kinsoku/>
        <w:wordWrap/>
        <w:overflowPunct/>
        <w:topLinePunct w:val="0"/>
        <w:autoSpaceDE/>
        <w:autoSpaceDN w:val="0"/>
        <w:bidi w:val="0"/>
        <w:adjustRightInd w:val="0"/>
        <w:snapToGrid w:val="0"/>
        <w:spacing w:line="560" w:lineRule="exact"/>
        <w:ind w:firstLine="643" w:firstLineChars="200"/>
        <w:textAlignment w:val="auto"/>
        <w:rPr>
          <w:rFonts w:eastAsia="仿宋_GB2312"/>
          <w:kern w:val="0"/>
          <w:sz w:val="32"/>
          <w:szCs w:val="32"/>
        </w:rPr>
      </w:pPr>
      <w:r>
        <w:rPr>
          <w:rFonts w:eastAsia="仿宋_GB2312"/>
          <w:b/>
          <w:kern w:val="0"/>
          <w:sz w:val="32"/>
          <w:szCs w:val="32"/>
        </w:rPr>
        <w:t>8.安全生产安全费用落实情况。</w:t>
      </w:r>
      <w:r>
        <w:rPr>
          <w:rFonts w:eastAsia="仿宋_GB2312"/>
          <w:kern w:val="0"/>
          <w:sz w:val="32"/>
          <w:szCs w:val="32"/>
        </w:rPr>
        <w:t>安全生产费用提取和使用情况，企业依法参加工伤保险，为从业人员及时足额缴纳工伤保险费情况；投保安全生产责任保险情况。</w:t>
      </w:r>
    </w:p>
    <w:p w14:paraId="2EB1ECEE">
      <w:pPr>
        <w:keepNext w:val="0"/>
        <w:keepLines w:val="0"/>
        <w:pageBreakBefore w:val="0"/>
        <w:kinsoku/>
        <w:wordWrap/>
        <w:overflowPunct/>
        <w:topLinePunct w:val="0"/>
        <w:autoSpaceDE/>
        <w:bidi w:val="0"/>
        <w:adjustRightInd w:val="0"/>
        <w:snapToGrid w:val="0"/>
        <w:spacing w:line="560" w:lineRule="exact"/>
        <w:ind w:firstLine="643" w:firstLineChars="200"/>
        <w:textAlignment w:val="auto"/>
        <w:rPr>
          <w:rFonts w:eastAsia="仿宋_GB2312"/>
          <w:kern w:val="0"/>
          <w:sz w:val="32"/>
          <w:szCs w:val="32"/>
        </w:rPr>
      </w:pPr>
      <w:r>
        <w:rPr>
          <w:rFonts w:eastAsia="仿宋_GB2312"/>
          <w:b/>
          <w:kern w:val="0"/>
          <w:sz w:val="32"/>
          <w:szCs w:val="32"/>
        </w:rPr>
        <w:t>9.安全技术服务情况。</w:t>
      </w:r>
      <w:r>
        <w:rPr>
          <w:rFonts w:eastAsia="仿宋_GB2312"/>
          <w:bCs/>
          <w:kern w:val="0"/>
          <w:sz w:val="32"/>
          <w:szCs w:val="32"/>
        </w:rPr>
        <w:t>从事安全技术服务的</w:t>
      </w:r>
      <w:r>
        <w:rPr>
          <w:rFonts w:eastAsia="仿宋_GB2312"/>
          <w:kern w:val="0"/>
          <w:sz w:val="32"/>
          <w:szCs w:val="32"/>
        </w:rPr>
        <w:t>服务机构开展安全评价、安全论证、安全生产标准化、双重预防机制等各项安全技术服务情况，服务事项与</w:t>
      </w:r>
      <w:r>
        <w:rPr>
          <w:rFonts w:eastAsia="仿宋_GB2312"/>
          <w:spacing w:val="-4"/>
          <w:sz w:val="32"/>
          <w:szCs w:val="32"/>
        </w:rPr>
        <w:t>企业</w:t>
      </w:r>
      <w:r>
        <w:rPr>
          <w:rFonts w:eastAsia="仿宋_GB2312"/>
          <w:kern w:val="0"/>
          <w:sz w:val="32"/>
          <w:szCs w:val="32"/>
        </w:rPr>
        <w:t>安全实际相对应情况，制定的安全风险管控措施可行性情况，安全防范措施与安全风险相对应情况。</w:t>
      </w:r>
    </w:p>
    <w:p w14:paraId="14D05C1D">
      <w:pPr>
        <w:pStyle w:val="11"/>
        <w:keepNext w:val="0"/>
        <w:keepLines w:val="0"/>
        <w:pageBreakBefore w:val="0"/>
        <w:kinsoku/>
        <w:wordWrap/>
        <w:overflowPunct/>
        <w:topLinePunct w:val="0"/>
        <w:autoSpaceDE/>
        <w:bidi w:val="0"/>
        <w:spacing w:line="560" w:lineRule="exact"/>
        <w:ind w:firstLine="643"/>
        <w:textAlignment w:val="auto"/>
        <w:rPr>
          <w:rFonts w:hint="eastAsia"/>
          <w:kern w:val="0"/>
          <w:sz w:val="32"/>
          <w:szCs w:val="32"/>
        </w:rPr>
      </w:pPr>
      <w:r>
        <w:rPr>
          <w:rFonts w:hint="eastAsia"/>
          <w:b/>
          <w:kern w:val="0"/>
          <w:sz w:val="32"/>
          <w:szCs w:val="32"/>
        </w:rPr>
        <w:t>10.安全生产强制性标准实施情况。</w:t>
      </w:r>
      <w:r>
        <w:rPr>
          <w:rFonts w:hint="eastAsia"/>
          <w:kern w:val="0"/>
          <w:sz w:val="32"/>
          <w:szCs w:val="32"/>
        </w:rPr>
        <w:t>企业相关强制性标准获取情况，各项安全生产强制性标准的执行情况。</w:t>
      </w:r>
    </w:p>
    <w:p w14:paraId="5710FA8B">
      <w:pPr>
        <w:pStyle w:val="11"/>
        <w:keepNext w:val="0"/>
        <w:keepLines w:val="0"/>
        <w:pageBreakBefore w:val="0"/>
        <w:kinsoku/>
        <w:wordWrap/>
        <w:overflowPunct/>
        <w:topLinePunct w:val="0"/>
        <w:autoSpaceDE/>
        <w:bidi w:val="0"/>
        <w:spacing w:line="560" w:lineRule="exact"/>
        <w:ind w:firstLine="643"/>
        <w:textAlignment w:val="auto"/>
        <w:rPr>
          <w:rFonts w:hint="eastAsia"/>
          <w:kern w:val="0"/>
          <w:sz w:val="32"/>
          <w:szCs w:val="32"/>
        </w:rPr>
      </w:pPr>
      <w:r>
        <w:rPr>
          <w:rFonts w:hint="eastAsia"/>
          <w:b/>
          <w:kern w:val="0"/>
          <w:sz w:val="32"/>
          <w:szCs w:val="32"/>
        </w:rPr>
        <w:t>1</w:t>
      </w:r>
      <w:r>
        <w:rPr>
          <w:rFonts w:hint="eastAsia"/>
          <w:b/>
          <w:kern w:val="0"/>
          <w:sz w:val="32"/>
          <w:szCs w:val="32"/>
          <w:lang w:eastAsia="zh"/>
        </w:rPr>
        <w:t>1</w:t>
      </w:r>
      <w:r>
        <w:rPr>
          <w:rFonts w:hint="eastAsia"/>
          <w:b/>
          <w:kern w:val="0"/>
          <w:sz w:val="32"/>
          <w:szCs w:val="32"/>
        </w:rPr>
        <w:t>.安全生产举报奖励落实情况。</w:t>
      </w:r>
      <w:r>
        <w:rPr>
          <w:rFonts w:hint="eastAsia"/>
          <w:kern w:val="0"/>
          <w:sz w:val="32"/>
          <w:szCs w:val="32"/>
        </w:rPr>
        <w:t>落实举报培训课程情况，张贴有奖举报公告牌情况，建立和落实安全举报奖励制度情况。</w:t>
      </w:r>
    </w:p>
    <w:p w14:paraId="3A6C7582">
      <w:pPr>
        <w:keepNext w:val="0"/>
        <w:keepLines w:val="0"/>
        <w:pageBreakBefore w:val="0"/>
        <w:kinsoku/>
        <w:wordWrap/>
        <w:overflowPunct/>
        <w:topLinePunct w:val="0"/>
        <w:autoSpaceDE/>
        <w:bidi w:val="0"/>
        <w:adjustRightInd w:val="0"/>
        <w:snapToGrid w:val="0"/>
        <w:spacing w:line="560" w:lineRule="exact"/>
        <w:ind w:firstLine="640" w:firstLineChars="200"/>
        <w:textAlignment w:val="auto"/>
        <w:rPr>
          <w:rFonts w:hint="default" w:ascii="Times New Roman" w:hAnsi="Times New Roman" w:eastAsia="仿宋" w:cs="Times New Roman"/>
          <w:color w:val="000000"/>
          <w:kern w:val="0"/>
          <w:sz w:val="32"/>
          <w:szCs w:val="32"/>
        </w:rPr>
      </w:pPr>
      <w:r>
        <w:rPr>
          <w:rFonts w:eastAsia="楷体_GB2312"/>
          <w:b w:val="0"/>
          <w:bCs/>
          <w:kern w:val="0"/>
          <w:sz w:val="32"/>
          <w:szCs w:val="32"/>
        </w:rPr>
        <w:t>（三）执法检查安排。</w:t>
      </w:r>
      <w:r>
        <w:rPr>
          <w:rFonts w:hint="default" w:ascii="Times New Roman" w:hAnsi="Times New Roman" w:eastAsia="仿宋_GB2312" w:cs="Times New Roman"/>
          <w:color w:val="000000"/>
          <w:kern w:val="0"/>
          <w:sz w:val="32"/>
          <w:szCs w:val="32"/>
        </w:rPr>
        <w:t>各监管</w:t>
      </w:r>
      <w:r>
        <w:rPr>
          <w:rFonts w:hint="default" w:ascii="Times New Roman" w:hAnsi="Times New Roman" w:eastAsia="仿宋_GB2312" w:cs="Times New Roman"/>
          <w:color w:val="000000"/>
          <w:kern w:val="0"/>
          <w:sz w:val="32"/>
          <w:szCs w:val="32"/>
          <w:lang w:eastAsia="zh-CN"/>
        </w:rPr>
        <w:t>科室</w:t>
      </w:r>
      <w:r>
        <w:rPr>
          <w:rFonts w:hint="default" w:ascii="Times New Roman" w:hAnsi="Times New Roman" w:eastAsia="仿宋_GB2312" w:cs="Times New Roman"/>
          <w:color w:val="000000"/>
          <w:kern w:val="0"/>
          <w:sz w:val="32"/>
          <w:szCs w:val="32"/>
        </w:rPr>
        <w:t>、</w:t>
      </w:r>
      <w:r>
        <w:rPr>
          <w:rFonts w:hint="default" w:ascii="Times New Roman" w:hAnsi="Times New Roman" w:eastAsia="仿宋_GB2312" w:cs="Times New Roman"/>
          <w:color w:val="000000"/>
          <w:kern w:val="0"/>
          <w:sz w:val="32"/>
          <w:szCs w:val="32"/>
          <w:lang w:eastAsia="zh-CN"/>
        </w:rPr>
        <w:t>执法大队</w:t>
      </w:r>
      <w:r>
        <w:rPr>
          <w:rFonts w:hint="default" w:ascii="Times New Roman" w:hAnsi="Times New Roman" w:eastAsia="仿宋_GB2312" w:cs="Times New Roman"/>
          <w:color w:val="000000"/>
          <w:kern w:val="0"/>
          <w:sz w:val="32"/>
          <w:szCs w:val="32"/>
        </w:rPr>
        <w:t>按照</w:t>
      </w:r>
      <w:r>
        <w:rPr>
          <w:rFonts w:hint="default" w:ascii="Times New Roman" w:hAnsi="Times New Roman" w:eastAsia="仿宋_GB2312" w:cs="Times New Roman"/>
          <w:color w:val="000000"/>
          <w:kern w:val="2"/>
          <w:sz w:val="32"/>
          <w:szCs w:val="32"/>
          <w:lang w:val="en-US" w:eastAsia="zh-CN" w:bidi="ar-SA"/>
        </w:rPr>
        <w:t>202</w:t>
      </w:r>
      <w:r>
        <w:rPr>
          <w:rFonts w:hint="eastAsia" w:ascii="Times New Roman" w:hAnsi="Times New Roman" w:eastAsia="仿宋_GB2312" w:cs="Times New Roman"/>
          <w:color w:val="000000"/>
          <w:kern w:val="2"/>
          <w:sz w:val="32"/>
          <w:szCs w:val="32"/>
          <w:lang w:val="en-US" w:eastAsia="zh-CN" w:bidi="ar-SA"/>
        </w:rPr>
        <w:t>5</w:t>
      </w:r>
      <w:r>
        <w:rPr>
          <w:rFonts w:hint="default" w:ascii="Times New Roman" w:hAnsi="Times New Roman" w:eastAsia="仿宋_GB2312" w:cs="Times New Roman"/>
          <w:color w:val="000000"/>
          <w:kern w:val="2"/>
          <w:sz w:val="32"/>
          <w:szCs w:val="32"/>
          <w:lang w:val="en-US" w:eastAsia="zh-CN" w:bidi="ar-SA"/>
        </w:rPr>
        <w:t>年监督检查重点企业名单</w:t>
      </w:r>
      <w:r>
        <w:rPr>
          <w:rFonts w:hint="default" w:ascii="Times New Roman" w:hAnsi="Times New Roman" w:eastAsia="仿宋_GB2312" w:cs="Times New Roman"/>
          <w:color w:val="000000"/>
          <w:kern w:val="0"/>
          <w:sz w:val="32"/>
          <w:szCs w:val="32"/>
          <w:lang w:val="en-US" w:eastAsia="zh-CN"/>
        </w:rPr>
        <w:t>和</w:t>
      </w:r>
      <w:r>
        <w:rPr>
          <w:rFonts w:hint="default" w:ascii="Times New Roman" w:hAnsi="Times New Roman" w:eastAsia="仿宋_GB2312" w:cs="Times New Roman"/>
          <w:color w:val="000000"/>
          <w:kern w:val="2"/>
          <w:sz w:val="32"/>
          <w:szCs w:val="32"/>
          <w:lang w:val="en-US" w:eastAsia="zh-CN" w:bidi="ar-SA"/>
        </w:rPr>
        <w:t>重点行业领域监督检查内容</w:t>
      </w:r>
      <w:r>
        <w:rPr>
          <w:rFonts w:hint="default" w:ascii="Times New Roman" w:hAnsi="Times New Roman" w:eastAsia="仿宋_GB2312" w:cs="Times New Roman"/>
          <w:color w:val="000000"/>
          <w:sz w:val="32"/>
          <w:szCs w:val="32"/>
        </w:rPr>
        <w:t>（附件2至附件</w:t>
      </w:r>
      <w:r>
        <w:rPr>
          <w:rFonts w:hint="default" w:ascii="Times New Roman" w:hAnsi="Times New Roman" w:eastAsia="仿宋_GB2312" w:cs="Times New Roman"/>
          <w:color w:val="000000"/>
          <w:sz w:val="32"/>
          <w:szCs w:val="32"/>
          <w:lang w:val="en-US" w:eastAsia="zh-CN"/>
        </w:rPr>
        <w:t>3</w:t>
      </w:r>
      <w:r>
        <w:rPr>
          <w:rFonts w:hint="default" w:ascii="Times New Roman" w:hAnsi="Times New Roman" w:eastAsia="仿宋_GB2312" w:cs="Times New Roman"/>
          <w:color w:val="000000"/>
          <w:sz w:val="32"/>
          <w:szCs w:val="32"/>
        </w:rPr>
        <w:t>）</w:t>
      </w:r>
      <w:r>
        <w:rPr>
          <w:rFonts w:hint="default" w:ascii="Times New Roman" w:hAnsi="Times New Roman" w:eastAsia="仿宋" w:cs="Times New Roman"/>
          <w:color w:val="000000"/>
          <w:sz w:val="32"/>
          <w:szCs w:val="32"/>
        </w:rPr>
        <w:t>，</w:t>
      </w:r>
      <w:r>
        <w:rPr>
          <w:rFonts w:hint="default" w:ascii="Times New Roman" w:hAnsi="Times New Roman" w:eastAsia="仿宋_GB2312" w:cs="Times New Roman"/>
          <w:color w:val="000000"/>
          <w:kern w:val="0"/>
          <w:sz w:val="32"/>
          <w:szCs w:val="32"/>
        </w:rPr>
        <w:t>负责对纳入执法检查范围企业组织实施执法检查，具体任务分配和季度检查计划安排分别见附件</w:t>
      </w:r>
      <w:r>
        <w:rPr>
          <w:rFonts w:hint="default" w:ascii="Times New Roman" w:hAnsi="Times New Roman" w:eastAsia="仿宋_GB2312" w:cs="Times New Roman"/>
          <w:color w:val="000000"/>
          <w:kern w:val="0"/>
          <w:sz w:val="32"/>
          <w:szCs w:val="32"/>
          <w:lang w:val="en-US" w:eastAsia="zh-CN"/>
        </w:rPr>
        <w:t>4</w:t>
      </w:r>
      <w:r>
        <w:rPr>
          <w:rFonts w:hint="default" w:ascii="Times New Roman" w:hAnsi="Times New Roman" w:eastAsia="仿宋_GB2312" w:cs="Times New Roman"/>
          <w:color w:val="000000"/>
          <w:kern w:val="0"/>
          <w:sz w:val="32"/>
          <w:szCs w:val="32"/>
        </w:rPr>
        <w:t>、附件</w:t>
      </w:r>
      <w:r>
        <w:rPr>
          <w:rFonts w:hint="default" w:ascii="Times New Roman" w:hAnsi="Times New Roman" w:eastAsia="仿宋_GB2312" w:cs="Times New Roman"/>
          <w:color w:val="000000"/>
          <w:kern w:val="0"/>
          <w:sz w:val="32"/>
          <w:szCs w:val="32"/>
          <w:lang w:val="en-US" w:eastAsia="zh-CN"/>
        </w:rPr>
        <w:t>5</w:t>
      </w:r>
      <w:r>
        <w:rPr>
          <w:rFonts w:hint="default" w:ascii="Times New Roman" w:hAnsi="Times New Roman" w:eastAsia="仿宋_GB2312" w:cs="Times New Roman"/>
          <w:color w:val="000000"/>
          <w:kern w:val="0"/>
          <w:sz w:val="32"/>
          <w:szCs w:val="32"/>
        </w:rPr>
        <w:t>。</w:t>
      </w:r>
      <w:r>
        <w:rPr>
          <w:rFonts w:hint="default" w:ascii="Times New Roman" w:hAnsi="Times New Roman" w:eastAsia="仿宋_GB2312" w:cs="Times New Roman"/>
          <w:color w:val="000000"/>
          <w:sz w:val="32"/>
          <w:szCs w:val="32"/>
        </w:rPr>
        <w:t>按照省</w:t>
      </w:r>
      <w:r>
        <w:rPr>
          <w:rFonts w:hint="default" w:ascii="Times New Roman" w:hAnsi="Times New Roman" w:eastAsia="仿宋_GB2312" w:cs="Times New Roman"/>
          <w:color w:val="000000"/>
          <w:sz w:val="32"/>
          <w:szCs w:val="32"/>
          <w:lang w:eastAsia="zh-CN"/>
        </w:rPr>
        <w:t>、市、区</w:t>
      </w:r>
      <w:r>
        <w:rPr>
          <w:rFonts w:hint="default" w:ascii="Times New Roman" w:hAnsi="Times New Roman" w:eastAsia="仿宋_GB2312" w:cs="Times New Roman"/>
          <w:color w:val="000000"/>
          <w:sz w:val="32"/>
          <w:szCs w:val="32"/>
        </w:rPr>
        <w:t>工作部署，重点时期开展专项执法检查，组成行业检查组开展集中执法检查。</w:t>
      </w:r>
    </w:p>
    <w:p w14:paraId="6D1C8E74">
      <w:pPr>
        <w:keepNext w:val="0"/>
        <w:keepLines w:val="0"/>
        <w:pageBreakBefore w:val="0"/>
        <w:kinsoku/>
        <w:wordWrap/>
        <w:overflowPunct/>
        <w:topLinePunct w:val="0"/>
        <w:autoSpaceDE/>
        <w:bidi w:val="0"/>
        <w:adjustRightInd w:val="0"/>
        <w:snapToGrid w:val="0"/>
        <w:spacing w:line="560" w:lineRule="exact"/>
        <w:ind w:firstLine="640" w:firstLineChars="200"/>
        <w:textAlignment w:val="auto"/>
        <w:rPr>
          <w:rFonts w:eastAsia="仿宋_GB2312"/>
          <w:kern w:val="0"/>
          <w:sz w:val="32"/>
          <w:szCs w:val="32"/>
        </w:rPr>
      </w:pPr>
      <w:r>
        <w:rPr>
          <w:rFonts w:hint="eastAsia" w:eastAsia="楷体_GB2312"/>
          <w:b w:val="0"/>
          <w:bCs/>
          <w:kern w:val="0"/>
          <w:sz w:val="32"/>
          <w:szCs w:val="32"/>
          <w:lang w:eastAsia="zh"/>
        </w:rPr>
        <w:t>（</w:t>
      </w:r>
      <w:r>
        <w:rPr>
          <w:rFonts w:eastAsia="楷体_GB2312"/>
          <w:b w:val="0"/>
          <w:bCs/>
          <w:kern w:val="0"/>
          <w:sz w:val="32"/>
          <w:szCs w:val="32"/>
        </w:rPr>
        <w:t>四</w:t>
      </w:r>
      <w:r>
        <w:rPr>
          <w:rFonts w:hint="eastAsia" w:eastAsia="楷体_GB2312"/>
          <w:b w:val="0"/>
          <w:bCs/>
          <w:kern w:val="0"/>
          <w:sz w:val="32"/>
          <w:szCs w:val="32"/>
          <w:lang w:eastAsia="zh"/>
        </w:rPr>
        <w:t>）</w:t>
      </w:r>
      <w:r>
        <w:rPr>
          <w:rFonts w:eastAsia="楷体_GB2312"/>
          <w:b w:val="0"/>
          <w:bCs/>
          <w:kern w:val="0"/>
          <w:sz w:val="32"/>
          <w:szCs w:val="32"/>
        </w:rPr>
        <w:t>执法检查方式</w:t>
      </w:r>
      <w:r>
        <w:rPr>
          <w:rFonts w:hint="eastAsia" w:eastAsia="楷体_GB2312"/>
          <w:b w:val="0"/>
          <w:bCs/>
          <w:kern w:val="0"/>
          <w:sz w:val="32"/>
          <w:szCs w:val="32"/>
          <w:lang w:eastAsia="zh"/>
        </w:rPr>
        <w:t>。</w:t>
      </w:r>
      <w:r>
        <w:rPr>
          <w:rFonts w:eastAsia="仿宋_GB2312"/>
          <w:kern w:val="0"/>
          <w:sz w:val="32"/>
          <w:szCs w:val="32"/>
        </w:rPr>
        <w:t>按照</w:t>
      </w:r>
      <w:r>
        <w:rPr>
          <w:rFonts w:hint="eastAsia" w:eastAsia="仿宋_GB2312"/>
          <w:kern w:val="0"/>
          <w:sz w:val="32"/>
          <w:szCs w:val="32"/>
        </w:rPr>
        <w:t>深入推进应急管理综合行政执法改革，切实提升执法效能的原则，针对</w:t>
      </w:r>
      <w:r>
        <w:rPr>
          <w:rFonts w:eastAsia="仿宋_GB2312"/>
          <w:kern w:val="0"/>
          <w:sz w:val="32"/>
          <w:szCs w:val="32"/>
        </w:rPr>
        <w:t>煤矿</w:t>
      </w:r>
      <w:r>
        <w:rPr>
          <w:rFonts w:hint="eastAsia" w:eastAsia="仿宋_GB2312"/>
          <w:kern w:val="0"/>
          <w:sz w:val="32"/>
          <w:szCs w:val="32"/>
        </w:rPr>
        <w:t>、</w:t>
      </w:r>
      <w:r>
        <w:rPr>
          <w:rFonts w:eastAsia="仿宋_GB2312"/>
          <w:kern w:val="0"/>
          <w:sz w:val="32"/>
          <w:szCs w:val="32"/>
        </w:rPr>
        <w:t>非煤矿山</w:t>
      </w:r>
      <w:r>
        <w:rPr>
          <w:rFonts w:hint="eastAsia" w:eastAsia="仿宋_GB2312"/>
          <w:kern w:val="0"/>
          <w:sz w:val="32"/>
          <w:szCs w:val="32"/>
        </w:rPr>
        <w:t>、危险化学品、金属冶炼</w:t>
      </w:r>
      <w:r>
        <w:rPr>
          <w:rFonts w:eastAsia="仿宋_GB2312"/>
          <w:kern w:val="0"/>
          <w:sz w:val="32"/>
          <w:szCs w:val="32"/>
        </w:rPr>
        <w:t>及涉有限空间作业、涉爆粉尘企业</w:t>
      </w:r>
      <w:r>
        <w:rPr>
          <w:rFonts w:hint="eastAsia" w:eastAsia="仿宋_GB2312"/>
          <w:kern w:val="0"/>
          <w:sz w:val="32"/>
          <w:szCs w:val="32"/>
        </w:rPr>
        <w:t>等重点检查企业，开展“一企一策”精准执法</w:t>
      </w:r>
      <w:r>
        <w:rPr>
          <w:rFonts w:hint="eastAsia" w:eastAsia="仿宋_GB2312"/>
          <w:kern w:val="0"/>
          <w:sz w:val="32"/>
          <w:szCs w:val="32"/>
          <w:lang w:eastAsia="zh"/>
        </w:rPr>
        <w:t>；</w:t>
      </w:r>
      <w:r>
        <w:rPr>
          <w:rFonts w:hint="eastAsia" w:eastAsia="仿宋_GB2312"/>
          <w:kern w:val="0"/>
          <w:sz w:val="32"/>
          <w:szCs w:val="32"/>
        </w:rPr>
        <w:t>针对重点时期安全保障要求</w:t>
      </w:r>
      <w:r>
        <w:rPr>
          <w:rFonts w:hint="eastAsia" w:eastAsia="仿宋_GB2312"/>
          <w:kern w:val="0"/>
          <w:sz w:val="32"/>
          <w:szCs w:val="32"/>
          <w:lang w:eastAsia="zh"/>
        </w:rPr>
        <w:t>，</w:t>
      </w:r>
      <w:r>
        <w:rPr>
          <w:rFonts w:eastAsia="仿宋_GB2312"/>
          <w:kern w:val="0"/>
          <w:sz w:val="32"/>
          <w:szCs w:val="32"/>
        </w:rPr>
        <w:t>对存在重大安全风险、重大危险源点、高风险作业活动的企业</w:t>
      </w:r>
      <w:r>
        <w:rPr>
          <w:rFonts w:hint="eastAsia" w:eastAsia="仿宋_GB2312"/>
          <w:kern w:val="0"/>
          <w:sz w:val="32"/>
          <w:szCs w:val="32"/>
        </w:rPr>
        <w:t>组织开展双随机抽查</w:t>
      </w:r>
      <w:r>
        <w:rPr>
          <w:rFonts w:eastAsia="仿宋_GB2312"/>
          <w:kern w:val="0"/>
          <w:sz w:val="32"/>
          <w:szCs w:val="32"/>
        </w:rPr>
        <w:t>、暗查暗访、突击检查</w:t>
      </w:r>
      <w:r>
        <w:rPr>
          <w:rFonts w:hint="eastAsia" w:eastAsia="仿宋_GB2312"/>
          <w:kern w:val="0"/>
          <w:sz w:val="32"/>
          <w:szCs w:val="32"/>
          <w:lang w:eastAsia="zh"/>
        </w:rPr>
        <w:t>；</w:t>
      </w:r>
      <w:r>
        <w:rPr>
          <w:rFonts w:eastAsia="仿宋_GB2312"/>
          <w:kern w:val="0"/>
          <w:sz w:val="32"/>
          <w:szCs w:val="32"/>
        </w:rPr>
        <w:t>针对典型事故暴露出的突出违法问题，安全生产领域存在的突出风险</w:t>
      </w:r>
      <w:r>
        <w:rPr>
          <w:rFonts w:hint="eastAsia" w:eastAsia="仿宋_GB2312"/>
          <w:kern w:val="0"/>
          <w:sz w:val="32"/>
          <w:szCs w:val="32"/>
        </w:rPr>
        <w:t>以及投诉举报、网上巡查等发现的问题，</w:t>
      </w:r>
      <w:r>
        <w:rPr>
          <w:rFonts w:eastAsia="仿宋_GB2312"/>
          <w:kern w:val="0"/>
          <w:sz w:val="32"/>
          <w:szCs w:val="32"/>
        </w:rPr>
        <w:t>根据不同时间节点、季节特点、地域行业特点开展专项执法检查</w:t>
      </w:r>
      <w:r>
        <w:rPr>
          <w:rFonts w:hint="eastAsia" w:eastAsia="仿宋_GB2312"/>
          <w:kern w:val="0"/>
          <w:sz w:val="32"/>
          <w:szCs w:val="32"/>
        </w:rPr>
        <w:t>；</w:t>
      </w:r>
      <w:r>
        <w:rPr>
          <w:rFonts w:hint="eastAsia" w:ascii="仿宋_GB2312" w:hAnsi="仿宋_GB2312" w:eastAsia="仿宋_GB2312" w:cs="仿宋_GB2312"/>
          <w:kern w:val="0"/>
          <w:sz w:val="32"/>
          <w:szCs w:val="32"/>
        </w:rPr>
        <w:t>依托现代化监管载体，逐步构建以风险隐患在线监测监控、视频监控等线上设施为主，线下核实、委托核实处置为辅的非现场执法监管模式，全面提升安全生产执法效能。</w:t>
      </w:r>
    </w:p>
    <w:p w14:paraId="5CEDD227">
      <w:pPr>
        <w:keepNext w:val="0"/>
        <w:keepLines w:val="0"/>
        <w:pageBreakBefore w:val="0"/>
        <w:kinsoku/>
        <w:wordWrap/>
        <w:overflowPunct/>
        <w:topLinePunct w:val="0"/>
        <w:autoSpaceDE/>
        <w:bidi w:val="0"/>
        <w:spacing w:line="560" w:lineRule="exact"/>
        <w:ind w:firstLine="640" w:firstLineChars="200"/>
        <w:textAlignment w:val="auto"/>
        <w:rPr>
          <w:rFonts w:eastAsia="黑体"/>
          <w:kern w:val="0"/>
          <w:sz w:val="32"/>
          <w:szCs w:val="32"/>
        </w:rPr>
      </w:pPr>
      <w:r>
        <w:rPr>
          <w:rFonts w:hint="eastAsia" w:eastAsia="黑体"/>
          <w:kern w:val="0"/>
          <w:sz w:val="32"/>
          <w:szCs w:val="32"/>
          <w:lang w:eastAsia="zh"/>
        </w:rPr>
        <w:t>四</w:t>
      </w:r>
      <w:r>
        <w:rPr>
          <w:rFonts w:eastAsia="黑体"/>
          <w:kern w:val="0"/>
          <w:sz w:val="32"/>
          <w:szCs w:val="32"/>
        </w:rPr>
        <w:t>、工作要求</w:t>
      </w:r>
    </w:p>
    <w:p w14:paraId="6E0EB948">
      <w:pPr>
        <w:pStyle w:val="12"/>
        <w:keepNext w:val="0"/>
        <w:keepLines w:val="0"/>
        <w:pageBreakBefore w:val="0"/>
        <w:kinsoku/>
        <w:wordWrap/>
        <w:overflowPunct/>
        <w:topLinePunct w:val="0"/>
        <w:autoSpaceDE/>
        <w:bidi w:val="0"/>
        <w:spacing w:after="0" w:line="560" w:lineRule="exact"/>
        <w:ind w:firstLine="643"/>
        <w:jc w:val="both"/>
        <w:textAlignment w:val="auto"/>
        <w:rPr>
          <w:rFonts w:hint="eastAsia" w:ascii="仿宋_GB2312" w:hAnsi="仿宋_GB2312" w:eastAsia="仿宋_GB2312" w:cs="仿宋_GB2312"/>
          <w:b w:val="0"/>
          <w:bCs/>
          <w:kern w:val="0"/>
          <w:sz w:val="32"/>
          <w:szCs w:val="32"/>
        </w:rPr>
      </w:pPr>
      <w:r>
        <w:rPr>
          <w:rFonts w:hint="eastAsia" w:ascii="楷体_GB2312" w:hAnsi="楷体_GB2312" w:eastAsia="楷体_GB2312" w:cs="楷体_GB2312"/>
          <w:b w:val="0"/>
          <w:bCs/>
          <w:kern w:val="0"/>
          <w:sz w:val="32"/>
          <w:szCs w:val="32"/>
        </w:rPr>
        <w:t>（一）科学组织实施。</w:t>
      </w:r>
      <w:r>
        <w:rPr>
          <w:rFonts w:hint="eastAsia" w:ascii="仿宋_GB2312" w:hAnsi="仿宋_GB2312" w:eastAsia="仿宋_GB2312" w:cs="仿宋_GB2312"/>
          <w:b w:val="0"/>
          <w:bCs/>
          <w:spacing w:val="-7"/>
          <w:sz w:val="32"/>
          <w:szCs w:val="32"/>
        </w:rPr>
        <w:t>各有关科室、大队要高度重视，严格按照计划进行监督检查，发现事故隐患及时处理，对依法应当给予行政处罚的违法行为及时立案。积极配合省应急管理厅、市应急管理局执行好年度监督检查计划，在实施监督检查时要本着“应联合尽联合”的原则，开展联合监督检查，避免多头重复执法。</w:t>
      </w:r>
    </w:p>
    <w:p w14:paraId="47E0FE2E">
      <w:pPr>
        <w:pStyle w:val="12"/>
        <w:keepNext w:val="0"/>
        <w:keepLines w:val="0"/>
        <w:pageBreakBefore w:val="0"/>
        <w:kinsoku/>
        <w:wordWrap/>
        <w:overflowPunct/>
        <w:topLinePunct w:val="0"/>
        <w:autoSpaceDE/>
        <w:bidi w:val="0"/>
        <w:spacing w:after="0" w:line="560" w:lineRule="exact"/>
        <w:ind w:firstLine="643"/>
        <w:jc w:val="both"/>
        <w:textAlignment w:val="auto"/>
        <w:rPr>
          <w:rFonts w:hint="eastAsia" w:ascii="仿宋_GB2312" w:hAnsi="仿宋_GB2312" w:eastAsia="仿宋_GB2312" w:cs="仿宋_GB2312"/>
          <w:b w:val="0"/>
          <w:bCs/>
          <w:sz w:val="32"/>
          <w:szCs w:val="32"/>
        </w:rPr>
      </w:pPr>
      <w:r>
        <w:rPr>
          <w:rFonts w:hint="eastAsia" w:ascii="楷体_GB2312" w:hAnsi="楷体_GB2312" w:eastAsia="楷体_GB2312" w:cs="楷体_GB2312"/>
          <w:b w:val="0"/>
          <w:bCs/>
          <w:kern w:val="0"/>
          <w:sz w:val="32"/>
          <w:szCs w:val="32"/>
        </w:rPr>
        <w:t>（二）规范执法程序。</w:t>
      </w:r>
      <w:r>
        <w:rPr>
          <w:rFonts w:hint="eastAsia" w:ascii="仿宋_GB2312" w:hAnsi="仿宋_GB2312" w:eastAsia="仿宋_GB2312" w:cs="仿宋_GB2312"/>
          <w:b w:val="0"/>
          <w:bCs/>
          <w:spacing w:val="-7"/>
          <w:sz w:val="32"/>
          <w:szCs w:val="32"/>
        </w:rPr>
        <w:t>各级要全面推行“一企一策”精准执法。结合企业安全生产诚信等级，精准实施分级分类执法检查，确保每次检查问题查实查透，做到检查内容规范。进入企业执法检查，执法人员要主动出示执法证件，并将执法人员信息和执法行为规范告知企业，并严格执行安全生产行政执法公示、全过程记录、重大执法决定法制审核“三项制度”，做到执法行为规范。</w:t>
      </w:r>
      <w:r>
        <w:rPr>
          <w:rFonts w:hint="eastAsia" w:ascii="仿宋_GB2312" w:hAnsi="仿宋_GB2312" w:eastAsia="仿宋_GB2312" w:cs="仿宋_GB2312"/>
          <w:b w:val="0"/>
          <w:bCs/>
          <w:sz w:val="32"/>
          <w:szCs w:val="32"/>
        </w:rPr>
        <w:t>严格依据安全生产法律法规进行处罚，做到行使自由裁量权规范。凡发现涉及行刑衔接的，要严格按照规定向公安机关移送涉嫌安全生产犯罪案件。</w:t>
      </w:r>
    </w:p>
    <w:p w14:paraId="7D0DD219">
      <w:pPr>
        <w:pStyle w:val="12"/>
        <w:keepNext w:val="0"/>
        <w:keepLines w:val="0"/>
        <w:pageBreakBefore w:val="0"/>
        <w:kinsoku/>
        <w:wordWrap/>
        <w:overflowPunct/>
        <w:topLinePunct w:val="0"/>
        <w:autoSpaceDE/>
        <w:bidi w:val="0"/>
        <w:spacing w:after="0" w:line="560" w:lineRule="exact"/>
        <w:ind w:firstLine="643"/>
        <w:jc w:val="both"/>
        <w:textAlignment w:val="auto"/>
        <w:rPr>
          <w:rFonts w:hint="eastAsia" w:ascii="仿宋_GB2312" w:hAnsi="仿宋_GB2312" w:eastAsia="仿宋_GB2312" w:cs="仿宋_GB2312"/>
          <w:b w:val="0"/>
          <w:bCs/>
          <w:spacing w:val="-7"/>
          <w:sz w:val="32"/>
          <w:szCs w:val="32"/>
        </w:rPr>
      </w:pPr>
      <w:r>
        <w:rPr>
          <w:rFonts w:hint="eastAsia" w:ascii="楷体_GB2312" w:hAnsi="楷体_GB2312" w:eastAsia="楷体_GB2312" w:cs="楷体_GB2312"/>
          <w:b w:val="0"/>
          <w:bCs/>
          <w:kern w:val="0"/>
          <w:sz w:val="32"/>
          <w:szCs w:val="32"/>
        </w:rPr>
        <w:t>（三）包容审慎执法。</w:t>
      </w:r>
      <w:r>
        <w:rPr>
          <w:rFonts w:hint="eastAsia" w:ascii="仿宋_GB2312" w:hAnsi="仿宋_GB2312" w:eastAsia="仿宋_GB2312" w:cs="仿宋_GB2312"/>
          <w:b w:val="0"/>
          <w:bCs/>
          <w:sz w:val="32"/>
          <w:szCs w:val="32"/>
        </w:rPr>
        <w:t>在开展日常检查执法时，对企业存在问题符合《河北省应急管理系统轻微违法行为包容免罚清单》的事项，实施“轻微违法首违不罚”，对首次发现的企业安全生产轻微违法行为实施“轻微违法首违不罚”，对企业自查发现的问题正在整改期的以非强制性行政执法手段代替行政处罚；对违法情节严重的，实施行政处罚要根据违法行为的性质和危害依法作出相应的处罚决定。同时提供跟踪指导、专家上门、技术帮助、法律咨询等多种服务，教育引导生产经营单位自觉遵守安全生产规定，变被动执法为主动服务，正确处理严格执法和热情服务关系，开展“精准执法+优质服务”，将查处非法违法行为与统筹解决相关善后问题结合起来，保护和激发市场主体活力。</w:t>
      </w:r>
    </w:p>
    <w:p w14:paraId="3FA95714">
      <w:pPr>
        <w:keepNext w:val="0"/>
        <w:keepLines w:val="0"/>
        <w:pageBreakBefore w:val="0"/>
        <w:kinsoku/>
        <w:wordWrap/>
        <w:overflowPunct/>
        <w:topLinePunct w:val="0"/>
        <w:autoSpaceDE/>
        <w:bidi w:val="0"/>
        <w:spacing w:line="560" w:lineRule="exact"/>
        <w:textAlignment w:val="auto"/>
        <w:rPr>
          <w:rFonts w:hint="eastAsia"/>
        </w:rPr>
      </w:pPr>
      <w:r>
        <w:rPr>
          <w:rFonts w:hint="eastAsia" w:eastAsia="楷体_GB2312"/>
          <w:b/>
          <w:kern w:val="0"/>
          <w:sz w:val="32"/>
          <w:szCs w:val="32"/>
        </w:rPr>
        <w:t xml:space="preserve">  </w:t>
      </w:r>
      <w:r>
        <w:rPr>
          <w:rFonts w:hint="eastAsia" w:ascii="楷体_GB2312" w:hAnsi="楷体_GB2312" w:eastAsia="楷体_GB2312" w:cs="楷体_GB2312"/>
          <w:b w:val="0"/>
          <w:bCs/>
          <w:kern w:val="0"/>
          <w:sz w:val="32"/>
          <w:szCs w:val="32"/>
          <w:lang w:val="en-US" w:eastAsia="zh-CN" w:bidi="ar-SA"/>
        </w:rPr>
        <w:t xml:space="preserve">  （四）推进执法信息化。</w:t>
      </w:r>
      <w:r>
        <w:rPr>
          <w:rFonts w:hint="eastAsia" w:ascii="仿宋_GB2312" w:hAnsi="仿宋_GB2312" w:eastAsia="仿宋_GB2312" w:cs="仿宋_GB2312"/>
          <w:sz w:val="32"/>
          <w:szCs w:val="32"/>
        </w:rPr>
        <w:t>全面应用部建“互联网+执法”系统开展执法检查，做好检查方案、事项、对象的管理工作。及时将年度执法计划、临时执法计划、双随机计划录入系统，及时更新执法人员信息，及时将执法检查情况录入系统，逐步实现执法全程线上操作。构建分级负责、全面覆盖各级应急管理部门的工作网络。</w:t>
      </w:r>
      <w:r>
        <w:rPr>
          <w:rFonts w:hint="eastAsia" w:ascii="仿宋_GB2312" w:hAnsi="仿宋_GB2312" w:eastAsia="仿宋_GB2312" w:cs="仿宋_GB2312"/>
          <w:kern w:val="0"/>
          <w:sz w:val="32"/>
          <w:szCs w:val="32"/>
        </w:rPr>
        <w:t>各科室、大队要积极推进非现场执法，将网上巡查发现的异常情况、问题隐患、预警报警信息作为执法的重要线索和依据。</w:t>
      </w:r>
    </w:p>
    <w:p w14:paraId="6BBA8FFF">
      <w:pPr>
        <w:pStyle w:val="11"/>
        <w:keepNext w:val="0"/>
        <w:keepLines w:val="0"/>
        <w:pageBreakBefore w:val="0"/>
        <w:kinsoku/>
        <w:wordWrap/>
        <w:overflowPunct/>
        <w:topLinePunct w:val="0"/>
        <w:autoSpaceDE/>
        <w:bidi w:val="0"/>
        <w:spacing w:line="560" w:lineRule="exact"/>
        <w:ind w:firstLine="643"/>
        <w:jc w:val="both"/>
        <w:textAlignment w:val="auto"/>
        <w:rPr>
          <w:kern w:val="0"/>
          <w:sz w:val="32"/>
          <w:szCs w:val="32"/>
        </w:rPr>
      </w:pPr>
      <w:r>
        <w:rPr>
          <w:rFonts w:hint="eastAsia" w:ascii="楷体_GB2312" w:hAnsi="楷体_GB2312" w:eastAsia="楷体_GB2312" w:cs="楷体_GB2312"/>
          <w:b w:val="0"/>
          <w:bCs/>
          <w:kern w:val="0"/>
          <w:sz w:val="32"/>
          <w:szCs w:val="32"/>
          <w:lang w:val="en-US" w:eastAsia="zh-CN" w:bidi="ar-SA"/>
        </w:rPr>
        <w:t>（五）严守工作纪律。</w:t>
      </w:r>
      <w:r>
        <w:rPr>
          <w:rFonts w:hint="eastAsia"/>
          <w:kern w:val="0"/>
          <w:sz w:val="32"/>
          <w:szCs w:val="32"/>
        </w:rPr>
        <w:t>要严格执行中央八项规定及其实施细则精神，</w:t>
      </w:r>
      <w:r>
        <w:rPr>
          <w:rFonts w:hint="eastAsia" w:ascii="仿宋_GB2312" w:hAnsi="仿宋_GB2312" w:cs="仿宋_GB2312"/>
          <w:sz w:val="32"/>
          <w:szCs w:val="32"/>
        </w:rPr>
        <w:t>公开向被检查单位作出廉政承诺，</w:t>
      </w:r>
      <w:r>
        <w:rPr>
          <w:rFonts w:hint="eastAsia"/>
          <w:kern w:val="0"/>
          <w:sz w:val="32"/>
          <w:szCs w:val="32"/>
        </w:rPr>
        <w:t>坚守法纪红线，严守道德底线</w:t>
      </w:r>
      <w:r>
        <w:rPr>
          <w:rFonts w:hint="eastAsia" w:ascii="仿宋_GB2312" w:hAnsi="仿宋_GB2312" w:cs="仿宋_GB2312"/>
          <w:sz w:val="32"/>
          <w:szCs w:val="32"/>
        </w:rPr>
        <w:t>，做到严格执法、规范执法、文明执法、廉洁执法。执法人员要按照着装规定穿着统一制式服装，规范佩戴执法标志，严肃执法风纪，树立应急部门良好执法形象</w:t>
      </w:r>
      <w:r>
        <w:rPr>
          <w:kern w:val="0"/>
          <w:sz w:val="32"/>
          <w:szCs w:val="32"/>
        </w:rPr>
        <w:t>。</w:t>
      </w:r>
    </w:p>
    <w:p w14:paraId="15570934">
      <w:pPr>
        <w:pStyle w:val="11"/>
        <w:keepNext w:val="0"/>
        <w:keepLines w:val="0"/>
        <w:pageBreakBefore w:val="0"/>
        <w:kinsoku/>
        <w:wordWrap/>
        <w:overflowPunct/>
        <w:topLinePunct w:val="0"/>
        <w:autoSpaceDE/>
        <w:bidi w:val="0"/>
        <w:spacing w:line="560" w:lineRule="exact"/>
        <w:ind w:firstLine="643"/>
        <w:textAlignment w:val="auto"/>
      </w:pPr>
      <w:r>
        <w:rPr>
          <w:rFonts w:hint="eastAsia" w:ascii="楷体_GB2312" w:hAnsi="楷体_GB2312" w:eastAsia="楷体_GB2312" w:cs="楷体_GB2312"/>
          <w:b w:val="0"/>
          <w:bCs/>
          <w:kern w:val="0"/>
          <w:sz w:val="32"/>
          <w:szCs w:val="32"/>
          <w:lang w:val="en-US" w:eastAsia="zh-CN" w:bidi="ar-SA"/>
        </w:rPr>
        <w:t>（六）加强监督考核。</w:t>
      </w:r>
      <w:r>
        <w:rPr>
          <w:rFonts w:hint="eastAsia"/>
          <w:kern w:val="0"/>
          <w:sz w:val="32"/>
          <w:szCs w:val="32"/>
        </w:rPr>
        <w:t>结合年度重点工作进一步细化《安全生产行政执法监督考核工作细则》，持续加大执法监督考核力度，统筹指导县区开展执法检查，将行政执法作为年度安全生产考核重点内容。通过建立完善重大行政决策机制、执法决定机制、考核奖惩机制、责任追究机制，推动执法工作标准化、规范化</w:t>
      </w:r>
      <w:r>
        <w:rPr>
          <w:kern w:val="0"/>
          <w:sz w:val="32"/>
          <w:szCs w:val="32"/>
        </w:rPr>
        <w:t>。</w:t>
      </w:r>
    </w:p>
    <w:p w14:paraId="2B635844">
      <w:pPr>
        <w:keepNext w:val="0"/>
        <w:keepLines w:val="0"/>
        <w:pageBreakBefore w:val="0"/>
        <w:kinsoku/>
        <w:wordWrap/>
        <w:overflowPunct/>
        <w:topLinePunct w:val="0"/>
        <w:autoSpaceDE/>
        <w:bidi w:val="0"/>
        <w:spacing w:line="560" w:lineRule="exact"/>
        <w:textAlignment w:val="auto"/>
        <w:rPr>
          <w:rFonts w:eastAsia="仿宋_GB2312"/>
          <w:spacing w:val="-4"/>
          <w:sz w:val="32"/>
          <w:szCs w:val="32"/>
        </w:rPr>
      </w:pPr>
      <w:r>
        <w:rPr>
          <w:rFonts w:hint="eastAsia" w:eastAsia="楷体_GB2312"/>
          <w:b/>
          <w:bCs/>
          <w:color w:val="FF0000"/>
          <w:sz w:val="32"/>
          <w:szCs w:val="32"/>
        </w:rPr>
        <w:t xml:space="preserve">   </w:t>
      </w:r>
    </w:p>
    <w:p w14:paraId="559F0C47">
      <w:pPr>
        <w:keepNext w:val="0"/>
        <w:keepLines w:val="0"/>
        <w:pageBreakBefore w:val="0"/>
        <w:kinsoku/>
        <w:wordWrap/>
        <w:overflowPunct/>
        <w:topLinePunct w:val="0"/>
        <w:autoSpaceDE/>
        <w:autoSpaceDN w:val="0"/>
        <w:bidi w:val="0"/>
        <w:adjustRightInd w:val="0"/>
        <w:snapToGrid w:val="0"/>
        <w:spacing w:line="560" w:lineRule="exact"/>
        <w:ind w:firstLine="640" w:firstLineChars="200"/>
        <w:textAlignment w:val="auto"/>
        <w:rPr>
          <w:rFonts w:hint="default" w:ascii="Times New Roman" w:hAnsi="Times New Roman" w:eastAsia="仿宋_GB2312" w:cs="Times New Roman"/>
          <w:color w:val="000000"/>
          <w:kern w:val="2"/>
          <w:sz w:val="32"/>
          <w:szCs w:val="32"/>
          <w:lang w:val="en-US" w:eastAsia="zh-CN" w:bidi="ar-SA"/>
        </w:rPr>
      </w:pPr>
      <w:r>
        <w:rPr>
          <w:rFonts w:eastAsia="仿宋_GB2312"/>
          <w:sz w:val="32"/>
          <w:szCs w:val="32"/>
        </w:rPr>
        <w:t>附件</w:t>
      </w:r>
      <w:r>
        <w:rPr>
          <w:rFonts w:hint="eastAsia" w:eastAsia="仿宋_GB2312"/>
          <w:sz w:val="32"/>
          <w:szCs w:val="32"/>
        </w:rPr>
        <w:t>：</w:t>
      </w:r>
      <w:r>
        <w:rPr>
          <w:rFonts w:hint="default" w:ascii="Times New Roman" w:hAnsi="Times New Roman" w:eastAsia="CESI仿宋-GB2312" w:cs="Times New Roman"/>
          <w:color w:val="000000"/>
          <w:sz w:val="32"/>
          <w:szCs w:val="32"/>
        </w:rPr>
        <w:t>1</w:t>
      </w:r>
      <w:r>
        <w:rPr>
          <w:rFonts w:hint="default" w:ascii="Times New Roman" w:hAnsi="Times New Roman" w:eastAsia="仿宋_GB2312" w:cs="Times New Roman"/>
          <w:color w:val="000000"/>
          <w:kern w:val="2"/>
          <w:sz w:val="32"/>
          <w:szCs w:val="32"/>
          <w:lang w:val="en-US" w:eastAsia="zh-CN" w:bidi="ar-SA"/>
        </w:rPr>
        <w:t>.监督检查工作日测算</w:t>
      </w:r>
    </w:p>
    <w:p w14:paraId="5C58FC11">
      <w:pPr>
        <w:keepNext w:val="0"/>
        <w:keepLines w:val="0"/>
        <w:pageBreakBefore w:val="0"/>
        <w:kinsoku/>
        <w:wordWrap/>
        <w:overflowPunct/>
        <w:topLinePunct w:val="0"/>
        <w:autoSpaceDE/>
        <w:autoSpaceDN w:val="0"/>
        <w:bidi w:val="0"/>
        <w:adjustRightInd w:val="0"/>
        <w:snapToGrid w:val="0"/>
        <w:spacing w:line="560" w:lineRule="exact"/>
        <w:ind w:firstLine="1600" w:firstLineChars="500"/>
        <w:textAlignment w:val="auto"/>
        <w:rPr>
          <w:rFonts w:hint="default" w:ascii="Times New Roman" w:hAnsi="Times New Roman" w:eastAsia="仿宋_GB2312" w:cs="Times New Roman"/>
          <w:color w:val="000000"/>
          <w:kern w:val="2"/>
          <w:sz w:val="32"/>
          <w:szCs w:val="32"/>
          <w:lang w:val="en-US" w:eastAsia="zh-CN" w:bidi="ar-SA"/>
        </w:rPr>
      </w:pPr>
      <w:r>
        <w:rPr>
          <w:rFonts w:hint="default" w:ascii="Times New Roman" w:hAnsi="Times New Roman" w:eastAsia="仿宋_GB2312" w:cs="Times New Roman"/>
          <w:color w:val="000000"/>
          <w:kern w:val="2"/>
          <w:sz w:val="32"/>
          <w:szCs w:val="32"/>
          <w:lang w:val="en-US" w:eastAsia="zh-CN" w:bidi="ar-SA"/>
        </w:rPr>
        <w:t>2.202</w:t>
      </w:r>
      <w:r>
        <w:rPr>
          <w:rFonts w:hint="eastAsia" w:ascii="Times New Roman" w:hAnsi="Times New Roman" w:eastAsia="仿宋_GB2312" w:cs="Times New Roman"/>
          <w:color w:val="000000"/>
          <w:kern w:val="2"/>
          <w:sz w:val="32"/>
          <w:szCs w:val="32"/>
          <w:lang w:val="en-US" w:eastAsia="zh-CN" w:bidi="ar-SA"/>
        </w:rPr>
        <w:t>5</w:t>
      </w:r>
      <w:r>
        <w:rPr>
          <w:rFonts w:hint="default" w:ascii="Times New Roman" w:hAnsi="Times New Roman" w:eastAsia="仿宋_GB2312" w:cs="Times New Roman"/>
          <w:color w:val="000000"/>
          <w:kern w:val="2"/>
          <w:sz w:val="32"/>
          <w:szCs w:val="32"/>
          <w:lang w:val="en-US" w:eastAsia="zh-CN" w:bidi="ar-SA"/>
        </w:rPr>
        <w:t>年监督检查重点企业名单</w:t>
      </w:r>
    </w:p>
    <w:p w14:paraId="6372BEFE">
      <w:pPr>
        <w:keepNext w:val="0"/>
        <w:keepLines w:val="0"/>
        <w:pageBreakBefore w:val="0"/>
        <w:kinsoku/>
        <w:wordWrap/>
        <w:overflowPunct/>
        <w:topLinePunct w:val="0"/>
        <w:autoSpaceDE/>
        <w:autoSpaceDN w:val="0"/>
        <w:bidi w:val="0"/>
        <w:adjustRightInd w:val="0"/>
        <w:snapToGrid w:val="0"/>
        <w:spacing w:line="560" w:lineRule="exact"/>
        <w:ind w:firstLine="1600" w:firstLineChars="500"/>
        <w:textAlignment w:val="auto"/>
        <w:rPr>
          <w:rFonts w:hint="default" w:ascii="Times New Roman" w:hAnsi="Times New Roman" w:eastAsia="仿宋_GB2312" w:cs="Times New Roman"/>
          <w:color w:val="000000"/>
          <w:kern w:val="2"/>
          <w:sz w:val="32"/>
          <w:szCs w:val="32"/>
          <w:lang w:val="en-US" w:eastAsia="zh-CN" w:bidi="ar-SA"/>
        </w:rPr>
      </w:pPr>
      <w:r>
        <w:rPr>
          <w:rFonts w:hint="default" w:ascii="Times New Roman" w:hAnsi="Times New Roman" w:eastAsia="仿宋_GB2312" w:cs="Times New Roman"/>
          <w:color w:val="000000"/>
          <w:kern w:val="2"/>
          <w:sz w:val="32"/>
          <w:szCs w:val="32"/>
          <w:lang w:val="en-US" w:eastAsia="zh-CN" w:bidi="ar-SA"/>
        </w:rPr>
        <w:t>3.重点行业领域监督检查内容</w:t>
      </w:r>
    </w:p>
    <w:p w14:paraId="29D8FDAC">
      <w:pPr>
        <w:keepNext w:val="0"/>
        <w:keepLines w:val="0"/>
        <w:pageBreakBefore w:val="0"/>
        <w:kinsoku/>
        <w:wordWrap/>
        <w:overflowPunct/>
        <w:topLinePunct w:val="0"/>
        <w:autoSpaceDE/>
        <w:autoSpaceDN w:val="0"/>
        <w:bidi w:val="0"/>
        <w:adjustRightInd w:val="0"/>
        <w:snapToGrid w:val="0"/>
        <w:spacing w:line="560" w:lineRule="exact"/>
        <w:ind w:firstLine="1600" w:firstLineChars="500"/>
        <w:textAlignment w:val="auto"/>
        <w:rPr>
          <w:rFonts w:hint="default" w:ascii="Times New Roman" w:hAnsi="Times New Roman" w:eastAsia="仿宋_GB2312" w:cs="Times New Roman"/>
          <w:color w:val="000000"/>
          <w:kern w:val="2"/>
          <w:sz w:val="32"/>
          <w:szCs w:val="32"/>
          <w:lang w:val="en-US" w:eastAsia="zh-CN" w:bidi="ar-SA"/>
        </w:rPr>
      </w:pPr>
      <w:r>
        <w:rPr>
          <w:rFonts w:hint="default" w:ascii="Times New Roman" w:hAnsi="Times New Roman" w:eastAsia="仿宋_GB2312" w:cs="Times New Roman"/>
          <w:color w:val="000000"/>
          <w:kern w:val="2"/>
          <w:sz w:val="32"/>
          <w:szCs w:val="32"/>
          <w:lang w:val="en-US" w:eastAsia="zh-CN" w:bidi="ar-SA"/>
        </w:rPr>
        <w:t>4.监督检查任务分配表</w:t>
      </w:r>
    </w:p>
    <w:p w14:paraId="06BC29D7">
      <w:pPr>
        <w:keepNext w:val="0"/>
        <w:keepLines w:val="0"/>
        <w:pageBreakBefore w:val="0"/>
        <w:kinsoku/>
        <w:wordWrap/>
        <w:overflowPunct/>
        <w:topLinePunct w:val="0"/>
        <w:autoSpaceDE/>
        <w:autoSpaceDN w:val="0"/>
        <w:bidi w:val="0"/>
        <w:adjustRightInd w:val="0"/>
        <w:snapToGrid w:val="0"/>
        <w:spacing w:line="560" w:lineRule="exact"/>
        <w:ind w:firstLine="1600" w:firstLineChars="5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000000"/>
          <w:kern w:val="2"/>
          <w:sz w:val="32"/>
          <w:szCs w:val="32"/>
          <w:lang w:val="en-US" w:eastAsia="zh-CN" w:bidi="ar-SA"/>
        </w:rPr>
        <w:t>5.监督检查任务季度计划安排</w:t>
      </w:r>
    </w:p>
    <w:p w14:paraId="70ED5A10">
      <w:pPr>
        <w:keepNext w:val="0"/>
        <w:keepLines w:val="0"/>
        <w:pageBreakBefore w:val="0"/>
        <w:kinsoku/>
        <w:wordWrap/>
        <w:overflowPunct/>
        <w:topLinePunct w:val="0"/>
        <w:autoSpaceDE/>
        <w:autoSpaceDN w:val="0"/>
        <w:bidi w:val="0"/>
        <w:adjustRightInd w:val="0"/>
        <w:snapToGrid w:val="0"/>
        <w:spacing w:line="560" w:lineRule="exact"/>
        <w:ind w:firstLine="1600" w:firstLineChars="500"/>
        <w:textAlignment w:val="auto"/>
        <w:rPr>
          <w:rFonts w:eastAsia="仿宋_GB2312"/>
          <w:sz w:val="32"/>
          <w:szCs w:val="32"/>
        </w:rPr>
      </w:pPr>
    </w:p>
    <w:p w14:paraId="0B03C884">
      <w:pPr>
        <w:pStyle w:val="13"/>
        <w:keepNext w:val="0"/>
        <w:keepLines w:val="0"/>
        <w:pageBreakBefore w:val="0"/>
        <w:kinsoku/>
        <w:wordWrap/>
        <w:overflowPunct/>
        <w:topLinePunct w:val="0"/>
        <w:bidi w:val="0"/>
        <w:spacing w:line="560" w:lineRule="exact"/>
        <w:rPr>
          <w:rFonts w:ascii="Times New Roman" w:hAnsi="Times New Roman" w:eastAsia="黑体" w:cs="Times New Roman"/>
          <w:bCs/>
          <w:color w:val="000000"/>
          <w:kern w:val="0"/>
          <w:sz w:val="32"/>
          <w:szCs w:val="32"/>
        </w:rPr>
      </w:pPr>
    </w:p>
    <w:p w14:paraId="7C6FCA6B">
      <w:pPr>
        <w:pStyle w:val="13"/>
        <w:keepNext w:val="0"/>
        <w:keepLines w:val="0"/>
        <w:pageBreakBefore w:val="0"/>
        <w:kinsoku/>
        <w:wordWrap/>
        <w:overflowPunct/>
        <w:topLinePunct w:val="0"/>
        <w:bidi w:val="0"/>
        <w:spacing w:line="560" w:lineRule="exact"/>
        <w:rPr>
          <w:rFonts w:ascii="Times New Roman" w:hAnsi="Times New Roman" w:eastAsia="黑体" w:cs="Times New Roman"/>
          <w:bCs/>
          <w:color w:val="000000"/>
          <w:kern w:val="0"/>
          <w:sz w:val="32"/>
          <w:szCs w:val="32"/>
        </w:rPr>
        <w:sectPr>
          <w:headerReference r:id="rId3" w:type="default"/>
          <w:footerReference r:id="rId4" w:type="default"/>
          <w:footerReference r:id="rId5" w:type="even"/>
          <w:pgSz w:w="11906" w:h="16838"/>
          <w:pgMar w:top="1701" w:right="1418" w:bottom="1417" w:left="1418" w:header="851" w:footer="1361" w:gutter="0"/>
          <w:pgNumType w:fmt="decimal"/>
          <w:cols w:space="720" w:num="1"/>
          <w:docGrid w:type="lines" w:linePitch="312" w:charSpace="0"/>
        </w:sectPr>
      </w:pPr>
    </w:p>
    <w:p w14:paraId="29BF6DA5">
      <w:pPr>
        <w:pStyle w:val="13"/>
        <w:keepNext w:val="0"/>
        <w:keepLines w:val="0"/>
        <w:pageBreakBefore w:val="0"/>
        <w:kinsoku/>
        <w:wordWrap/>
        <w:overflowPunct/>
        <w:topLinePunct w:val="0"/>
        <w:bidi w:val="0"/>
        <w:spacing w:line="560" w:lineRule="exact"/>
        <w:rPr>
          <w:rFonts w:hint="eastAsia" w:ascii="黑体" w:hAnsi="黑体" w:eastAsia="黑体" w:cs="黑体"/>
          <w:bCs/>
          <w:color w:val="000000"/>
          <w:kern w:val="0"/>
          <w:sz w:val="32"/>
          <w:szCs w:val="32"/>
        </w:rPr>
      </w:pPr>
      <w:r>
        <w:rPr>
          <w:rFonts w:hint="eastAsia" w:ascii="黑体" w:hAnsi="黑体" w:eastAsia="黑体" w:cs="黑体"/>
          <w:bCs/>
          <w:color w:val="000000"/>
          <w:kern w:val="0"/>
          <w:sz w:val="32"/>
          <w:szCs w:val="32"/>
        </w:rPr>
        <w:t>附件1</w:t>
      </w:r>
    </w:p>
    <w:p w14:paraId="73C3BA24">
      <w:pPr>
        <w:keepNext w:val="0"/>
        <w:keepLines w:val="0"/>
        <w:pageBreakBefore w:val="0"/>
        <w:kinsoku/>
        <w:wordWrap/>
        <w:overflowPunct/>
        <w:topLinePunct w:val="0"/>
        <w:bidi w:val="0"/>
        <w:adjustRightInd w:val="0"/>
        <w:snapToGrid w:val="0"/>
        <w:spacing w:line="560" w:lineRule="exact"/>
        <w:ind w:right="21"/>
        <w:jc w:val="center"/>
        <w:rPr>
          <w:rFonts w:eastAsia="方正小标宋简体"/>
          <w:b/>
          <w:bCs/>
          <w:color w:val="000000"/>
          <w:kern w:val="0"/>
          <w:sz w:val="44"/>
          <w:szCs w:val="32"/>
        </w:rPr>
      </w:pPr>
    </w:p>
    <w:p w14:paraId="2CE54E80">
      <w:pPr>
        <w:keepNext w:val="0"/>
        <w:keepLines w:val="0"/>
        <w:pageBreakBefore w:val="0"/>
        <w:kinsoku/>
        <w:wordWrap/>
        <w:overflowPunct/>
        <w:topLinePunct w:val="0"/>
        <w:bidi w:val="0"/>
        <w:adjustRightInd w:val="0"/>
        <w:snapToGrid w:val="0"/>
        <w:spacing w:line="560" w:lineRule="exact"/>
        <w:ind w:right="21"/>
        <w:jc w:val="center"/>
        <w:rPr>
          <w:bCs/>
          <w:kern w:val="0"/>
          <w:sz w:val="44"/>
          <w:szCs w:val="32"/>
        </w:rPr>
      </w:pPr>
      <w:r>
        <w:rPr>
          <w:rFonts w:eastAsia="方正小标宋简体"/>
          <w:bCs/>
          <w:kern w:val="0"/>
          <w:sz w:val="44"/>
          <w:szCs w:val="32"/>
        </w:rPr>
        <w:t>监督检查工作日测算</w:t>
      </w:r>
    </w:p>
    <w:p w14:paraId="4B08AD66">
      <w:pPr>
        <w:keepNext w:val="0"/>
        <w:keepLines w:val="0"/>
        <w:pageBreakBefore w:val="0"/>
        <w:widowControl w:val="0"/>
        <w:tabs>
          <w:tab w:val="left" w:pos="3570"/>
        </w:tabs>
        <w:kinsoku/>
        <w:wordWrap/>
        <w:overflowPunct/>
        <w:topLinePunct w:val="0"/>
        <w:autoSpaceDE/>
        <w:autoSpaceDN/>
        <w:bidi w:val="0"/>
        <w:adjustRightInd w:val="0"/>
        <w:snapToGrid w:val="0"/>
        <w:spacing w:line="560" w:lineRule="exact"/>
        <w:ind w:right="21" w:firstLine="640" w:firstLineChars="200"/>
        <w:textAlignment w:val="auto"/>
        <w:rPr>
          <w:rFonts w:eastAsia="仿宋_GB2312"/>
          <w:bCs/>
          <w:kern w:val="0"/>
          <w:sz w:val="32"/>
          <w:szCs w:val="32"/>
        </w:rPr>
      </w:pPr>
      <w:r>
        <w:rPr>
          <w:rFonts w:eastAsia="仿宋_GB2312"/>
          <w:bCs/>
          <w:kern w:val="0"/>
          <w:sz w:val="32"/>
          <w:szCs w:val="32"/>
        </w:rPr>
        <w:tab/>
      </w:r>
    </w:p>
    <w:p w14:paraId="36A59D4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黑体"/>
          <w:sz w:val="32"/>
          <w:szCs w:val="32"/>
        </w:rPr>
      </w:pPr>
      <w:r>
        <w:rPr>
          <w:rFonts w:eastAsia="黑体"/>
          <w:sz w:val="32"/>
          <w:szCs w:val="32"/>
        </w:rPr>
        <w:t>一、监督检查力量</w:t>
      </w:r>
    </w:p>
    <w:p w14:paraId="374B916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
          <w:sz w:val="32"/>
          <w:szCs w:val="32"/>
        </w:rPr>
      </w:pPr>
      <w:r>
        <w:rPr>
          <w:rFonts w:hint="eastAsia" w:eastAsia="仿宋_GB2312"/>
          <w:color w:val="000000"/>
          <w:sz w:val="32"/>
          <w:szCs w:val="32"/>
          <w:lang w:eastAsia="zh-CN"/>
        </w:rPr>
        <w:t>区</w:t>
      </w:r>
      <w:r>
        <w:rPr>
          <w:rFonts w:hint="eastAsia" w:eastAsia="仿宋_GB2312"/>
          <w:color w:val="000000"/>
          <w:sz w:val="32"/>
          <w:szCs w:val="32"/>
        </w:rPr>
        <w:t>局现持有执法证件人员</w:t>
      </w:r>
      <w:r>
        <w:rPr>
          <w:rFonts w:hint="eastAsia" w:eastAsia="仿宋_GB2312"/>
          <w:color w:val="000000"/>
          <w:sz w:val="32"/>
          <w:szCs w:val="32"/>
          <w:lang w:val="en-US" w:eastAsia="zh-CN"/>
        </w:rPr>
        <w:t>19</w:t>
      </w:r>
      <w:r>
        <w:rPr>
          <w:rFonts w:hint="eastAsia" w:eastAsia="仿宋_GB2312"/>
          <w:color w:val="000000"/>
          <w:sz w:val="32"/>
          <w:szCs w:val="32"/>
        </w:rPr>
        <w:t>人。除去</w:t>
      </w:r>
      <w:r>
        <w:rPr>
          <w:rFonts w:hint="eastAsia" w:eastAsia="仿宋_GB2312"/>
          <w:color w:val="000000"/>
          <w:sz w:val="32"/>
          <w:szCs w:val="32"/>
          <w:lang w:eastAsia="zh-CN"/>
        </w:rPr>
        <w:t>乡村振兴</w:t>
      </w:r>
      <w:r>
        <w:rPr>
          <w:rFonts w:hint="eastAsia" w:eastAsia="仿宋_GB2312"/>
          <w:color w:val="000000"/>
          <w:sz w:val="32"/>
          <w:szCs w:val="32"/>
        </w:rPr>
        <w:t>等工作，以及涉灾科室等不涉及安全生产监管监察岗位的共</w:t>
      </w:r>
      <w:r>
        <w:rPr>
          <w:rFonts w:hint="eastAsia" w:eastAsia="仿宋_GB2312"/>
          <w:color w:val="000000"/>
          <w:sz w:val="32"/>
          <w:szCs w:val="32"/>
          <w:lang w:val="en-US" w:eastAsia="zh-CN"/>
        </w:rPr>
        <w:t>13</w:t>
      </w:r>
      <w:r>
        <w:rPr>
          <w:rFonts w:hint="eastAsia" w:eastAsia="仿宋_GB2312"/>
          <w:color w:val="000000"/>
          <w:sz w:val="32"/>
          <w:szCs w:val="32"/>
        </w:rPr>
        <w:t>人，实际在岗执法人员为</w:t>
      </w:r>
      <w:r>
        <w:rPr>
          <w:rFonts w:hint="eastAsia" w:eastAsia="仿宋_GB2312"/>
          <w:color w:val="000000"/>
          <w:sz w:val="32"/>
          <w:szCs w:val="32"/>
          <w:lang w:val="en-US" w:eastAsia="zh-CN"/>
        </w:rPr>
        <w:t>6</w:t>
      </w:r>
      <w:r>
        <w:rPr>
          <w:rFonts w:hint="eastAsia" w:eastAsia="仿宋_GB2312"/>
          <w:color w:val="000000"/>
          <w:sz w:val="32"/>
          <w:szCs w:val="32"/>
        </w:rPr>
        <w:t>人。</w:t>
      </w:r>
    </w:p>
    <w:p w14:paraId="560312B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eastAsia="黑体"/>
          <w:sz w:val="32"/>
          <w:szCs w:val="32"/>
        </w:rPr>
      </w:pPr>
      <w:r>
        <w:rPr>
          <w:rFonts w:eastAsia="黑体"/>
          <w:sz w:val="32"/>
          <w:szCs w:val="32"/>
        </w:rPr>
        <w:t>二、监督检查工作日</w:t>
      </w:r>
    </w:p>
    <w:p w14:paraId="065AEA7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黑体"/>
          <w:sz w:val="32"/>
          <w:szCs w:val="32"/>
        </w:rPr>
      </w:pPr>
      <w:r>
        <w:rPr>
          <w:rFonts w:eastAsia="楷体_GB2312"/>
          <w:b w:val="0"/>
          <w:bCs/>
          <w:kern w:val="0"/>
          <w:sz w:val="32"/>
          <w:szCs w:val="32"/>
        </w:rPr>
        <w:t>（一）总法定工作日。</w:t>
      </w:r>
      <w:r>
        <w:rPr>
          <w:rFonts w:eastAsia="仿宋_GB2312"/>
          <w:sz w:val="32"/>
          <w:szCs w:val="32"/>
        </w:rPr>
        <w:t>依据原国家安全监管总局《关于印发安全生产年度监督检查计划编制办法的通知》（安监总政法〔2017〕150号）的要求，总法定工作日=法定工作日×厅行政执法人员总数=25</w:t>
      </w:r>
      <w:r>
        <w:rPr>
          <w:rFonts w:hint="eastAsia" w:eastAsia="仿宋_GB2312"/>
          <w:sz w:val="32"/>
          <w:szCs w:val="32"/>
        </w:rPr>
        <w:t>1</w:t>
      </w:r>
      <w:r>
        <w:rPr>
          <w:rFonts w:eastAsia="仿宋_GB2312"/>
          <w:sz w:val="32"/>
          <w:szCs w:val="32"/>
        </w:rPr>
        <w:t>×</w:t>
      </w:r>
      <w:r>
        <w:rPr>
          <w:rFonts w:hint="eastAsia" w:eastAsia="仿宋_GB2312"/>
          <w:sz w:val="32"/>
          <w:szCs w:val="32"/>
          <w:lang w:val="en-US" w:eastAsia="zh-CN"/>
        </w:rPr>
        <w:t>6</w:t>
      </w:r>
      <w:r>
        <w:rPr>
          <w:rFonts w:eastAsia="仿宋_GB2312"/>
          <w:sz w:val="32"/>
          <w:szCs w:val="32"/>
        </w:rPr>
        <w:t>=</w:t>
      </w:r>
      <w:r>
        <w:rPr>
          <w:rFonts w:hint="eastAsia" w:eastAsia="仿宋_GB2312"/>
          <w:sz w:val="32"/>
          <w:szCs w:val="32"/>
          <w:lang w:val="en-US" w:eastAsia="zh-CN"/>
        </w:rPr>
        <w:t>1506</w:t>
      </w:r>
      <w:r>
        <w:rPr>
          <w:rFonts w:eastAsia="仿宋_GB2312"/>
          <w:sz w:val="32"/>
          <w:szCs w:val="32"/>
        </w:rPr>
        <w:t>个工作日。</w:t>
      </w:r>
    </w:p>
    <w:p w14:paraId="6031D8A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楷体_GB2312"/>
          <w:b w:val="0"/>
          <w:bCs/>
          <w:kern w:val="0"/>
          <w:sz w:val="32"/>
          <w:szCs w:val="32"/>
        </w:rPr>
        <w:t>（</w:t>
      </w:r>
      <w:r>
        <w:rPr>
          <w:rFonts w:hint="eastAsia" w:eastAsia="楷体_GB2312"/>
          <w:b w:val="0"/>
          <w:bCs/>
          <w:kern w:val="0"/>
          <w:sz w:val="32"/>
          <w:szCs w:val="32"/>
        </w:rPr>
        <w:t>二</w:t>
      </w:r>
      <w:r>
        <w:rPr>
          <w:rFonts w:eastAsia="楷体_GB2312"/>
          <w:b w:val="0"/>
          <w:bCs/>
          <w:kern w:val="0"/>
          <w:sz w:val="32"/>
          <w:szCs w:val="32"/>
        </w:rPr>
        <w:t>）其他执法工作日。</w:t>
      </w:r>
      <w:r>
        <w:rPr>
          <w:rFonts w:eastAsia="仿宋_GB2312"/>
          <w:sz w:val="32"/>
          <w:szCs w:val="32"/>
        </w:rPr>
        <w:t>根据近3年数据测算，共计</w:t>
      </w:r>
      <w:r>
        <w:rPr>
          <w:rFonts w:hint="eastAsia" w:eastAsia="仿宋_GB2312"/>
          <w:sz w:val="32"/>
          <w:szCs w:val="32"/>
          <w:lang w:val="en-US" w:eastAsia="zh-CN"/>
        </w:rPr>
        <w:t>500</w:t>
      </w:r>
      <w:r>
        <w:rPr>
          <w:rFonts w:eastAsia="仿宋_GB2312"/>
          <w:sz w:val="32"/>
          <w:szCs w:val="32"/>
        </w:rPr>
        <w:t xml:space="preserve">天。 </w:t>
      </w:r>
    </w:p>
    <w:p w14:paraId="78F9B05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1.开展安全生产综合监管督导、检查考核：</w:t>
      </w:r>
      <w:r>
        <w:rPr>
          <w:rFonts w:hint="eastAsia" w:eastAsia="仿宋_GB2312"/>
          <w:sz w:val="32"/>
          <w:szCs w:val="32"/>
          <w:lang w:val="en-US" w:eastAsia="zh-CN"/>
        </w:rPr>
        <w:t>150</w:t>
      </w:r>
      <w:r>
        <w:rPr>
          <w:rFonts w:eastAsia="仿宋_GB2312"/>
          <w:sz w:val="32"/>
          <w:szCs w:val="32"/>
        </w:rPr>
        <w:t>天。</w:t>
      </w:r>
    </w:p>
    <w:p w14:paraId="226860B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2.集中执法活动：不少于</w:t>
      </w:r>
      <w:r>
        <w:rPr>
          <w:rFonts w:hint="eastAsia" w:eastAsia="仿宋_GB2312"/>
          <w:sz w:val="32"/>
          <w:szCs w:val="32"/>
          <w:lang w:val="en-US" w:eastAsia="zh-CN"/>
        </w:rPr>
        <w:t>138</w:t>
      </w:r>
      <w:r>
        <w:rPr>
          <w:rFonts w:eastAsia="仿宋_GB2312"/>
          <w:sz w:val="32"/>
          <w:szCs w:val="32"/>
        </w:rPr>
        <w:t>天。</w:t>
      </w:r>
    </w:p>
    <w:p w14:paraId="0558076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3</w:t>
      </w:r>
      <w:r>
        <w:rPr>
          <w:rFonts w:hint="eastAsia" w:eastAsia="仿宋_GB2312"/>
          <w:sz w:val="32"/>
          <w:szCs w:val="32"/>
        </w:rPr>
        <w:t>.</w:t>
      </w:r>
      <w:r>
        <w:rPr>
          <w:rFonts w:eastAsia="仿宋_GB2312"/>
          <w:sz w:val="32"/>
          <w:szCs w:val="32"/>
        </w:rPr>
        <w:t>参与事故调查</w:t>
      </w:r>
      <w:r>
        <w:rPr>
          <w:rFonts w:hint="eastAsia" w:eastAsia="仿宋_GB2312"/>
          <w:sz w:val="32"/>
          <w:szCs w:val="32"/>
          <w:lang w:val="en-US" w:eastAsia="zh-CN"/>
        </w:rPr>
        <w:t>18</w:t>
      </w:r>
      <w:r>
        <w:rPr>
          <w:rFonts w:eastAsia="仿宋_GB2312"/>
          <w:sz w:val="32"/>
          <w:szCs w:val="32"/>
        </w:rPr>
        <w:t>天。</w:t>
      </w:r>
    </w:p>
    <w:p w14:paraId="30512EE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4</w:t>
      </w:r>
      <w:r>
        <w:rPr>
          <w:rFonts w:hint="eastAsia" w:eastAsia="仿宋_GB2312"/>
          <w:sz w:val="32"/>
          <w:szCs w:val="32"/>
        </w:rPr>
        <w:t>.</w:t>
      </w:r>
      <w:r>
        <w:rPr>
          <w:rFonts w:eastAsia="仿宋_GB2312"/>
          <w:sz w:val="32"/>
          <w:szCs w:val="32"/>
        </w:rPr>
        <w:t>核实投诉举报</w:t>
      </w:r>
      <w:r>
        <w:rPr>
          <w:rFonts w:hint="eastAsia" w:eastAsia="仿宋_GB2312"/>
          <w:sz w:val="32"/>
          <w:szCs w:val="32"/>
          <w:lang w:val="en-US" w:eastAsia="zh-CN"/>
        </w:rPr>
        <w:t>18</w:t>
      </w:r>
      <w:r>
        <w:rPr>
          <w:rFonts w:eastAsia="仿宋_GB2312"/>
          <w:sz w:val="32"/>
          <w:szCs w:val="32"/>
        </w:rPr>
        <w:t>天。</w:t>
      </w:r>
    </w:p>
    <w:p w14:paraId="3340619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5</w:t>
      </w:r>
      <w:r>
        <w:rPr>
          <w:rFonts w:hint="eastAsia" w:eastAsia="仿宋_GB2312"/>
          <w:sz w:val="32"/>
          <w:szCs w:val="32"/>
        </w:rPr>
        <w:t>.</w:t>
      </w:r>
      <w:r>
        <w:rPr>
          <w:rFonts w:eastAsia="仿宋_GB2312"/>
          <w:sz w:val="32"/>
          <w:szCs w:val="32"/>
        </w:rPr>
        <w:t>办理法规规章规定的登记备案</w:t>
      </w:r>
      <w:r>
        <w:rPr>
          <w:rFonts w:hint="eastAsia" w:eastAsia="仿宋_GB2312"/>
          <w:sz w:val="32"/>
          <w:szCs w:val="32"/>
          <w:lang w:val="en-US" w:eastAsia="zh-CN"/>
        </w:rPr>
        <w:t>12</w:t>
      </w:r>
      <w:r>
        <w:rPr>
          <w:rFonts w:eastAsia="仿宋_GB2312"/>
          <w:sz w:val="32"/>
          <w:szCs w:val="32"/>
        </w:rPr>
        <w:t>天。</w:t>
      </w:r>
      <w:r>
        <w:rPr>
          <w:rFonts w:eastAsia="仿宋_GB2312"/>
          <w:sz w:val="32"/>
          <w:szCs w:val="32"/>
        </w:rPr>
        <w:tab/>
      </w:r>
    </w:p>
    <w:p w14:paraId="75B23AD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6</w:t>
      </w:r>
      <w:r>
        <w:rPr>
          <w:rFonts w:hint="eastAsia" w:eastAsia="仿宋_GB2312"/>
          <w:sz w:val="32"/>
          <w:szCs w:val="32"/>
        </w:rPr>
        <w:t>.</w:t>
      </w:r>
      <w:r>
        <w:rPr>
          <w:rFonts w:eastAsia="仿宋_GB2312"/>
          <w:sz w:val="32"/>
          <w:szCs w:val="32"/>
        </w:rPr>
        <w:t>开展专项检查</w:t>
      </w:r>
      <w:r>
        <w:rPr>
          <w:rFonts w:hint="eastAsia" w:eastAsia="仿宋_GB2312"/>
          <w:sz w:val="32"/>
          <w:szCs w:val="32"/>
          <w:lang w:val="en-US" w:eastAsia="zh-CN"/>
        </w:rPr>
        <w:t>120</w:t>
      </w:r>
      <w:r>
        <w:rPr>
          <w:rFonts w:eastAsia="仿宋_GB2312"/>
          <w:sz w:val="32"/>
          <w:szCs w:val="32"/>
        </w:rPr>
        <w:t>天。</w:t>
      </w:r>
    </w:p>
    <w:p w14:paraId="412889E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7</w:t>
      </w:r>
      <w:r>
        <w:rPr>
          <w:rFonts w:hint="eastAsia" w:eastAsia="仿宋_GB2312"/>
          <w:sz w:val="32"/>
          <w:szCs w:val="32"/>
        </w:rPr>
        <w:t>.</w:t>
      </w:r>
      <w:r>
        <w:rPr>
          <w:rFonts w:eastAsia="仿宋_GB2312"/>
          <w:sz w:val="32"/>
          <w:szCs w:val="32"/>
        </w:rPr>
        <w:t>开展专门的宣传培训</w:t>
      </w:r>
      <w:r>
        <w:rPr>
          <w:rFonts w:hint="eastAsia" w:eastAsia="仿宋_GB2312"/>
          <w:sz w:val="32"/>
          <w:szCs w:val="32"/>
          <w:lang w:val="en-US" w:eastAsia="zh-CN"/>
        </w:rPr>
        <w:t>20</w:t>
      </w:r>
      <w:r>
        <w:rPr>
          <w:rFonts w:eastAsia="仿宋_GB2312"/>
          <w:sz w:val="32"/>
          <w:szCs w:val="32"/>
        </w:rPr>
        <w:t>天。</w:t>
      </w:r>
    </w:p>
    <w:p w14:paraId="0808E49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eastAsia="仿宋_GB2312"/>
          <w:sz w:val="32"/>
          <w:szCs w:val="32"/>
          <w:lang w:val="en-US" w:eastAsia="zh-CN"/>
        </w:rPr>
      </w:pPr>
      <w:r>
        <w:rPr>
          <w:rFonts w:eastAsia="仿宋_GB2312"/>
          <w:sz w:val="32"/>
          <w:szCs w:val="32"/>
        </w:rPr>
        <w:t>8</w:t>
      </w:r>
      <w:r>
        <w:rPr>
          <w:rFonts w:hint="eastAsia" w:eastAsia="仿宋_GB2312"/>
          <w:sz w:val="32"/>
          <w:szCs w:val="32"/>
        </w:rPr>
        <w:t>.完成</w:t>
      </w:r>
      <w:r>
        <w:rPr>
          <w:rFonts w:hint="eastAsia" w:eastAsia="仿宋_GB2312"/>
          <w:sz w:val="32"/>
          <w:szCs w:val="32"/>
          <w:lang w:eastAsia="zh-CN"/>
        </w:rPr>
        <w:t>市局</w:t>
      </w:r>
      <w:r>
        <w:rPr>
          <w:rFonts w:hint="eastAsia" w:eastAsia="仿宋_GB2312"/>
          <w:sz w:val="32"/>
          <w:szCs w:val="32"/>
        </w:rPr>
        <w:t>安排的其他执法工作任务（含地市交叉执法检查、抽调省厅行业执法等）</w:t>
      </w:r>
      <w:r>
        <w:rPr>
          <w:rFonts w:hint="eastAsia" w:eastAsia="仿宋_GB2312"/>
          <w:sz w:val="32"/>
          <w:szCs w:val="32"/>
          <w:lang w:val="en-US" w:eastAsia="zh-CN"/>
        </w:rPr>
        <w:t>12天</w:t>
      </w:r>
    </w:p>
    <w:p w14:paraId="066A53B7">
      <w:pPr>
        <w:pStyle w:val="2"/>
        <w:keepNext w:val="0"/>
        <w:keepLines w:val="0"/>
        <w:pageBreakBefore w:val="0"/>
        <w:widowControl w:val="0"/>
        <w:kinsoku/>
        <w:wordWrap/>
        <w:overflowPunct/>
        <w:topLinePunct w:val="0"/>
        <w:autoSpaceDE/>
        <w:autoSpaceDN/>
        <w:bidi w:val="0"/>
        <w:spacing w:line="560" w:lineRule="exact"/>
        <w:ind w:firstLine="640"/>
        <w:textAlignment w:val="auto"/>
        <w:rPr>
          <w:rFonts w:ascii="Times New Roman" w:hAnsi="Times New Roman" w:eastAsia="仿宋_GB2312"/>
          <w:sz w:val="32"/>
          <w:szCs w:val="32"/>
        </w:rPr>
      </w:pPr>
      <w:r>
        <w:rPr>
          <w:rFonts w:hint="eastAsia" w:ascii="Times New Roman" w:hAnsi="Times New Roman" w:eastAsia="仿宋_GB2312"/>
          <w:sz w:val="32"/>
          <w:szCs w:val="32"/>
        </w:rPr>
        <w:t>9.对事故发生企业执法预计需用</w:t>
      </w:r>
      <w:r>
        <w:rPr>
          <w:rFonts w:hint="eastAsia" w:ascii="Times New Roman" w:hAnsi="Times New Roman"/>
          <w:sz w:val="32"/>
          <w:szCs w:val="32"/>
          <w:lang w:val="en-US" w:eastAsia="zh-CN"/>
        </w:rPr>
        <w:t>12</w:t>
      </w:r>
      <w:r>
        <w:rPr>
          <w:rFonts w:hint="eastAsia" w:ascii="Times New Roman" w:hAnsi="Times New Roman" w:eastAsia="仿宋_GB2312"/>
          <w:sz w:val="32"/>
          <w:szCs w:val="32"/>
        </w:rPr>
        <w:t>个工作日。</w:t>
      </w:r>
    </w:p>
    <w:p w14:paraId="2E67A16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b/>
          <w:sz w:val="32"/>
          <w:szCs w:val="32"/>
        </w:rPr>
      </w:pPr>
      <w:r>
        <w:rPr>
          <w:rFonts w:eastAsia="楷体_GB2312"/>
          <w:b w:val="0"/>
          <w:bCs/>
          <w:kern w:val="0"/>
          <w:sz w:val="32"/>
          <w:szCs w:val="32"/>
        </w:rPr>
        <w:t>（</w:t>
      </w:r>
      <w:r>
        <w:rPr>
          <w:rFonts w:hint="eastAsia" w:eastAsia="楷体_GB2312"/>
          <w:b w:val="0"/>
          <w:bCs/>
          <w:kern w:val="0"/>
          <w:sz w:val="32"/>
          <w:szCs w:val="32"/>
        </w:rPr>
        <w:t>三</w:t>
      </w:r>
      <w:r>
        <w:rPr>
          <w:rFonts w:eastAsia="楷体_GB2312"/>
          <w:b w:val="0"/>
          <w:bCs/>
          <w:kern w:val="0"/>
          <w:sz w:val="32"/>
          <w:szCs w:val="32"/>
        </w:rPr>
        <w:t>）非执法工作日。</w:t>
      </w:r>
      <w:r>
        <w:rPr>
          <w:rFonts w:eastAsia="仿宋_GB2312"/>
          <w:sz w:val="32"/>
          <w:szCs w:val="32"/>
        </w:rPr>
        <w:t>根据近3年数据测算，共计</w:t>
      </w:r>
      <w:r>
        <w:rPr>
          <w:rFonts w:hint="eastAsia" w:eastAsia="仿宋_GB2312"/>
          <w:sz w:val="32"/>
          <w:szCs w:val="32"/>
          <w:lang w:val="en-US" w:eastAsia="zh-CN"/>
        </w:rPr>
        <w:t>600</w:t>
      </w:r>
      <w:r>
        <w:rPr>
          <w:rFonts w:eastAsia="仿宋_GB2312"/>
          <w:sz w:val="32"/>
          <w:szCs w:val="32"/>
        </w:rPr>
        <w:t>天。</w:t>
      </w:r>
    </w:p>
    <w:p w14:paraId="3CA8A79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eastAsia="仿宋_GB2312"/>
          <w:color w:val="FF0000"/>
          <w:sz w:val="32"/>
          <w:szCs w:val="32"/>
          <w:lang w:val="en-US" w:eastAsia="zh-CN"/>
        </w:rPr>
      </w:pPr>
      <w:r>
        <w:rPr>
          <w:rFonts w:eastAsia="仿宋_GB2312"/>
          <w:sz w:val="32"/>
          <w:szCs w:val="32"/>
        </w:rPr>
        <w:t>1.机关值班</w:t>
      </w:r>
      <w:r>
        <w:rPr>
          <w:rFonts w:hint="eastAsia" w:eastAsia="仿宋_GB2312"/>
          <w:sz w:val="32"/>
          <w:szCs w:val="32"/>
          <w:lang w:val="en-US" w:eastAsia="zh-CN"/>
        </w:rPr>
        <w:t>144</w:t>
      </w:r>
      <w:r>
        <w:rPr>
          <w:rFonts w:eastAsia="仿宋_GB2312"/>
          <w:sz w:val="32"/>
          <w:szCs w:val="32"/>
        </w:rPr>
        <w:t>天（</w:t>
      </w:r>
      <w:r>
        <w:rPr>
          <w:rFonts w:hint="eastAsia" w:eastAsia="仿宋_GB2312"/>
          <w:sz w:val="32"/>
          <w:szCs w:val="32"/>
        </w:rPr>
        <w:t>2</w:t>
      </w:r>
      <w:r>
        <w:rPr>
          <w:rFonts w:eastAsia="仿宋_GB2312"/>
          <w:sz w:val="32"/>
          <w:szCs w:val="32"/>
        </w:rPr>
        <w:t>人/天×365个工作日）。</w:t>
      </w:r>
    </w:p>
    <w:p w14:paraId="66639B7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eastAsia="仿宋_GB2312"/>
          <w:sz w:val="32"/>
          <w:szCs w:val="32"/>
        </w:rPr>
      </w:pPr>
      <w:r>
        <w:rPr>
          <w:rFonts w:eastAsia="仿宋_GB2312"/>
          <w:sz w:val="32"/>
          <w:szCs w:val="32"/>
        </w:rPr>
        <w:t>2.参加学习</w:t>
      </w:r>
      <w:r>
        <w:rPr>
          <w:rFonts w:hint="eastAsia" w:eastAsia="仿宋_GB2312"/>
          <w:sz w:val="32"/>
          <w:szCs w:val="32"/>
        </w:rPr>
        <w:t>、</w:t>
      </w:r>
      <w:r>
        <w:rPr>
          <w:rFonts w:eastAsia="仿宋_GB2312"/>
          <w:sz w:val="32"/>
          <w:szCs w:val="32"/>
        </w:rPr>
        <w:t>考核</w:t>
      </w:r>
      <w:r>
        <w:rPr>
          <w:rFonts w:hint="eastAsia" w:eastAsia="仿宋_GB2312"/>
          <w:sz w:val="32"/>
          <w:szCs w:val="32"/>
        </w:rPr>
        <w:t>、</w:t>
      </w:r>
      <w:r>
        <w:rPr>
          <w:rFonts w:eastAsia="仿宋_GB2312"/>
          <w:sz w:val="32"/>
          <w:szCs w:val="32"/>
        </w:rPr>
        <w:t>培训会议</w:t>
      </w:r>
      <w:r>
        <w:rPr>
          <w:rFonts w:hint="eastAsia" w:eastAsia="仿宋_GB2312"/>
          <w:sz w:val="32"/>
          <w:szCs w:val="32"/>
        </w:rPr>
        <w:t>及公文处理</w:t>
      </w:r>
      <w:r>
        <w:rPr>
          <w:rFonts w:hint="eastAsia" w:eastAsia="仿宋_GB2312"/>
          <w:sz w:val="32"/>
          <w:szCs w:val="32"/>
          <w:lang w:val="en-US" w:eastAsia="zh-CN"/>
        </w:rPr>
        <w:t>144</w:t>
      </w:r>
      <w:r>
        <w:rPr>
          <w:rFonts w:eastAsia="仿宋_GB2312"/>
          <w:sz w:val="32"/>
          <w:szCs w:val="32"/>
        </w:rPr>
        <w:t>天。</w:t>
      </w:r>
      <w:r>
        <w:rPr>
          <w:rFonts w:hint="eastAsia" w:eastAsia="仿宋_GB2312"/>
          <w:sz w:val="32"/>
          <w:szCs w:val="32"/>
        </w:rPr>
        <w:t>其中学习包括</w:t>
      </w:r>
      <w:r>
        <w:rPr>
          <w:rFonts w:eastAsia="仿宋_GB2312"/>
          <w:sz w:val="32"/>
          <w:szCs w:val="32"/>
        </w:rPr>
        <w:t>参加干部网络</w:t>
      </w:r>
      <w:r>
        <w:rPr>
          <w:rFonts w:hint="eastAsia" w:eastAsia="仿宋_GB2312"/>
          <w:sz w:val="32"/>
          <w:szCs w:val="32"/>
        </w:rPr>
        <w:t>学院</w:t>
      </w:r>
      <w:r>
        <w:rPr>
          <w:rFonts w:eastAsia="仿宋_GB2312"/>
          <w:sz w:val="32"/>
          <w:szCs w:val="32"/>
        </w:rPr>
        <w:t>学习和法</w:t>
      </w:r>
      <w:r>
        <w:rPr>
          <w:rFonts w:hint="eastAsia" w:eastAsia="仿宋_GB2312"/>
          <w:sz w:val="32"/>
          <w:szCs w:val="32"/>
        </w:rPr>
        <w:t>治</w:t>
      </w:r>
      <w:r>
        <w:rPr>
          <w:rFonts w:eastAsia="仿宋_GB2312"/>
          <w:sz w:val="32"/>
          <w:szCs w:val="32"/>
        </w:rPr>
        <w:t>办及应急管理部网络学习，</w:t>
      </w:r>
      <w:r>
        <w:rPr>
          <w:rFonts w:hint="eastAsia" w:eastAsia="仿宋_GB2312"/>
          <w:sz w:val="32"/>
          <w:szCs w:val="32"/>
        </w:rPr>
        <w:t>省厅网络和视频学习。</w:t>
      </w:r>
    </w:p>
    <w:p w14:paraId="0E30616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eastAsia="仿宋_GB2312"/>
          <w:b/>
          <w:bCs/>
          <w:color w:val="auto"/>
          <w:sz w:val="32"/>
          <w:szCs w:val="32"/>
          <w:lang w:val="en-US" w:eastAsia="zh-CN"/>
        </w:rPr>
      </w:pPr>
      <w:r>
        <w:rPr>
          <w:rFonts w:eastAsia="仿宋_GB2312"/>
          <w:sz w:val="32"/>
          <w:szCs w:val="32"/>
        </w:rPr>
        <w:t>3.检查指导下级应急管理部门工作（含对执法工作薄弱县区的监督执法）</w:t>
      </w:r>
      <w:r>
        <w:rPr>
          <w:rFonts w:hint="eastAsia" w:eastAsia="仿宋_GB2312"/>
          <w:sz w:val="32"/>
          <w:szCs w:val="32"/>
          <w:lang w:val="en-US" w:eastAsia="zh-CN"/>
        </w:rPr>
        <w:t>36</w:t>
      </w:r>
      <w:r>
        <w:rPr>
          <w:rFonts w:eastAsia="仿宋_GB2312"/>
          <w:sz w:val="32"/>
          <w:szCs w:val="32"/>
        </w:rPr>
        <w:t>天。</w:t>
      </w:r>
    </w:p>
    <w:p w14:paraId="358B5C4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eastAsia="仿宋_GB2312"/>
          <w:color w:val="FF0000"/>
          <w:sz w:val="32"/>
          <w:szCs w:val="32"/>
          <w:lang w:val="en-US" w:eastAsia="zh-CN"/>
        </w:rPr>
      </w:pPr>
      <w:r>
        <w:rPr>
          <w:rFonts w:eastAsia="仿宋_GB2312"/>
          <w:sz w:val="32"/>
          <w:szCs w:val="32"/>
        </w:rPr>
        <w:t>4.开展安全生产巡查</w:t>
      </w:r>
      <w:r>
        <w:rPr>
          <w:rFonts w:hint="eastAsia" w:eastAsia="仿宋_GB2312"/>
          <w:sz w:val="32"/>
          <w:szCs w:val="32"/>
          <w:lang w:val="en-US" w:eastAsia="zh-CN"/>
        </w:rPr>
        <w:t>72</w:t>
      </w:r>
      <w:r>
        <w:rPr>
          <w:rFonts w:eastAsia="仿宋_GB2312"/>
          <w:sz w:val="32"/>
          <w:szCs w:val="32"/>
        </w:rPr>
        <w:t>天。</w:t>
      </w:r>
    </w:p>
    <w:p w14:paraId="5E04EDB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5.参加党群活动</w:t>
      </w:r>
      <w:r>
        <w:rPr>
          <w:rFonts w:hint="eastAsia" w:eastAsia="仿宋_GB2312"/>
          <w:sz w:val="32"/>
          <w:szCs w:val="32"/>
          <w:lang w:val="en-US" w:eastAsia="zh-CN"/>
        </w:rPr>
        <w:t>144</w:t>
      </w:r>
      <w:r>
        <w:rPr>
          <w:rFonts w:eastAsia="仿宋_GB2312"/>
          <w:sz w:val="32"/>
          <w:szCs w:val="32"/>
        </w:rPr>
        <w:t>天（机关党委统一组织的学习活动以及每个支部每月2天的理论学习等）。</w:t>
      </w:r>
    </w:p>
    <w:p w14:paraId="2A43A9F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rPr>
        <w:t>6.年休假、病假、事假</w:t>
      </w:r>
      <w:r>
        <w:rPr>
          <w:rFonts w:hint="eastAsia" w:eastAsia="仿宋_GB2312"/>
          <w:sz w:val="32"/>
          <w:szCs w:val="32"/>
          <w:lang w:val="en-US" w:eastAsia="zh-CN"/>
        </w:rPr>
        <w:t>60</w:t>
      </w:r>
      <w:r>
        <w:rPr>
          <w:rFonts w:eastAsia="仿宋_GB2312"/>
          <w:sz w:val="32"/>
          <w:szCs w:val="32"/>
        </w:rPr>
        <w:t>天。</w:t>
      </w:r>
    </w:p>
    <w:p w14:paraId="25CE21E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sz w:val="32"/>
          <w:szCs w:val="32"/>
        </w:rPr>
      </w:pPr>
      <w:r>
        <w:rPr>
          <w:rFonts w:eastAsia="楷体_GB2312"/>
          <w:b w:val="0"/>
          <w:bCs/>
          <w:kern w:val="0"/>
          <w:sz w:val="32"/>
          <w:szCs w:val="32"/>
        </w:rPr>
        <w:t>（</w:t>
      </w:r>
      <w:r>
        <w:rPr>
          <w:rFonts w:hint="eastAsia" w:eastAsia="楷体_GB2312"/>
          <w:b w:val="0"/>
          <w:bCs/>
          <w:kern w:val="0"/>
          <w:sz w:val="32"/>
          <w:szCs w:val="32"/>
        </w:rPr>
        <w:t>四</w:t>
      </w:r>
      <w:r>
        <w:rPr>
          <w:rFonts w:eastAsia="楷体_GB2312"/>
          <w:b w:val="0"/>
          <w:bCs/>
          <w:kern w:val="0"/>
          <w:sz w:val="32"/>
          <w:szCs w:val="32"/>
        </w:rPr>
        <w:t>）监督检查工作日。</w:t>
      </w:r>
      <w:r>
        <w:rPr>
          <w:rFonts w:eastAsia="仿宋_GB2312"/>
          <w:sz w:val="32"/>
          <w:szCs w:val="32"/>
        </w:rPr>
        <w:t>执法检查工作日为总法定工作日减去其他执法工作日和非执法工作日所剩余的工作日：</w:t>
      </w:r>
    </w:p>
    <w:p w14:paraId="302D924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
          <w:kern w:val="0"/>
          <w:sz w:val="32"/>
          <w:szCs w:val="32"/>
        </w:rPr>
      </w:pPr>
      <w:r>
        <w:rPr>
          <w:rFonts w:hint="eastAsia" w:eastAsia="仿宋_GB2312"/>
          <w:kern w:val="0"/>
          <w:sz w:val="32"/>
          <w:szCs w:val="32"/>
          <w:lang w:val="en-US" w:eastAsia="zh-CN"/>
        </w:rPr>
        <w:t>1506</w:t>
      </w:r>
      <w:r>
        <w:rPr>
          <w:rFonts w:eastAsia="仿宋_GB2312"/>
          <w:kern w:val="0"/>
          <w:sz w:val="32"/>
          <w:szCs w:val="32"/>
        </w:rPr>
        <w:t>-</w:t>
      </w:r>
      <w:r>
        <w:rPr>
          <w:rFonts w:hint="eastAsia" w:eastAsia="仿宋_GB2312"/>
          <w:kern w:val="0"/>
          <w:sz w:val="32"/>
          <w:szCs w:val="32"/>
          <w:lang w:val="en-US" w:eastAsia="zh-CN"/>
        </w:rPr>
        <w:t>500</w:t>
      </w:r>
      <w:r>
        <w:rPr>
          <w:rFonts w:eastAsia="仿宋_GB2312"/>
          <w:kern w:val="0"/>
          <w:sz w:val="32"/>
          <w:szCs w:val="32"/>
        </w:rPr>
        <w:t>-</w:t>
      </w:r>
      <w:r>
        <w:rPr>
          <w:rFonts w:hint="eastAsia" w:eastAsia="仿宋_GB2312"/>
          <w:kern w:val="0"/>
          <w:sz w:val="32"/>
          <w:szCs w:val="32"/>
          <w:lang w:val="en-US" w:eastAsia="zh-CN"/>
        </w:rPr>
        <w:t>636</w:t>
      </w:r>
      <w:r>
        <w:rPr>
          <w:rFonts w:eastAsia="仿宋_GB2312"/>
          <w:kern w:val="0"/>
          <w:sz w:val="32"/>
          <w:szCs w:val="32"/>
        </w:rPr>
        <w:t>=</w:t>
      </w:r>
      <w:r>
        <w:rPr>
          <w:rFonts w:hint="eastAsia" w:eastAsia="仿宋_GB2312"/>
          <w:kern w:val="0"/>
          <w:sz w:val="32"/>
          <w:szCs w:val="32"/>
          <w:lang w:val="en-US" w:eastAsia="zh-CN"/>
        </w:rPr>
        <w:t>406</w:t>
      </w:r>
      <w:r>
        <w:rPr>
          <w:rFonts w:eastAsia="仿宋_GB2312"/>
          <w:kern w:val="0"/>
          <w:sz w:val="32"/>
          <w:szCs w:val="32"/>
        </w:rPr>
        <w:t>（天）</w:t>
      </w:r>
      <w:r>
        <w:rPr>
          <w:rFonts w:eastAsia="仿宋"/>
          <w:kern w:val="0"/>
          <w:sz w:val="32"/>
          <w:szCs w:val="32"/>
        </w:rPr>
        <w:t xml:space="preserve"> </w:t>
      </w:r>
    </w:p>
    <w:p w14:paraId="3A60B5A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eastAsia="仿宋_GB2312"/>
          <w:kern w:val="0"/>
          <w:sz w:val="32"/>
          <w:szCs w:val="32"/>
        </w:rPr>
      </w:pPr>
      <w:r>
        <w:rPr>
          <w:rFonts w:eastAsia="仿宋_GB2312"/>
          <w:sz w:val="32"/>
          <w:szCs w:val="32"/>
        </w:rPr>
        <w:t>按照组织检查、立案调查、责令整改、行政</w:t>
      </w:r>
      <w:r>
        <w:rPr>
          <w:rFonts w:hint="eastAsia" w:eastAsia="仿宋_GB2312"/>
          <w:sz w:val="32"/>
          <w:szCs w:val="32"/>
        </w:rPr>
        <w:t>告知、行政</w:t>
      </w:r>
      <w:r>
        <w:rPr>
          <w:rFonts w:eastAsia="仿宋_GB2312"/>
          <w:sz w:val="32"/>
          <w:szCs w:val="32"/>
        </w:rPr>
        <w:t>处罚、复查的时间测算，每家企业需</w:t>
      </w:r>
      <w:r>
        <w:rPr>
          <w:rFonts w:hint="eastAsia" w:eastAsia="仿宋_GB2312"/>
          <w:sz w:val="32"/>
          <w:szCs w:val="32"/>
          <w:lang w:val="en-US" w:eastAsia="zh-CN"/>
        </w:rPr>
        <w:t>3</w:t>
      </w:r>
      <w:r>
        <w:rPr>
          <w:rFonts w:eastAsia="仿宋_GB2312"/>
          <w:sz w:val="32"/>
          <w:szCs w:val="32"/>
        </w:rPr>
        <w:t>~</w:t>
      </w:r>
      <w:r>
        <w:rPr>
          <w:rFonts w:hint="eastAsia" w:eastAsia="仿宋_GB2312"/>
          <w:sz w:val="32"/>
          <w:szCs w:val="32"/>
        </w:rPr>
        <w:t>4</w:t>
      </w:r>
      <w:r>
        <w:rPr>
          <w:rFonts w:eastAsia="仿宋_GB2312"/>
          <w:sz w:val="32"/>
          <w:szCs w:val="32"/>
        </w:rPr>
        <w:t>个工作日，行政执法人员为2~</w:t>
      </w:r>
      <w:r>
        <w:rPr>
          <w:rFonts w:hint="eastAsia" w:eastAsia="仿宋_GB2312"/>
          <w:sz w:val="32"/>
          <w:szCs w:val="32"/>
        </w:rPr>
        <w:t>3</w:t>
      </w:r>
      <w:r>
        <w:rPr>
          <w:rFonts w:eastAsia="仿宋_GB2312"/>
          <w:sz w:val="32"/>
          <w:szCs w:val="32"/>
        </w:rPr>
        <w:t>人次测算，</w:t>
      </w:r>
      <w:r>
        <w:rPr>
          <w:rFonts w:hint="eastAsia" w:eastAsia="仿宋_GB2312"/>
          <w:sz w:val="32"/>
          <w:szCs w:val="32"/>
        </w:rPr>
        <w:t>参照往年数据进行技术调整，</w:t>
      </w:r>
      <w:r>
        <w:rPr>
          <w:rFonts w:eastAsia="仿宋_GB2312"/>
          <w:sz w:val="32"/>
          <w:szCs w:val="32"/>
        </w:rPr>
        <w:t>202</w:t>
      </w:r>
      <w:r>
        <w:rPr>
          <w:rFonts w:hint="eastAsia" w:eastAsia="仿宋_GB2312"/>
          <w:sz w:val="32"/>
          <w:szCs w:val="32"/>
          <w:lang w:val="en-US" w:eastAsia="zh-CN"/>
        </w:rPr>
        <w:t>5</w:t>
      </w:r>
      <w:r>
        <w:rPr>
          <w:rFonts w:eastAsia="仿宋_GB2312"/>
          <w:sz w:val="32"/>
          <w:szCs w:val="32"/>
        </w:rPr>
        <w:t>年</w:t>
      </w:r>
      <w:r>
        <w:rPr>
          <w:rFonts w:eastAsia="仿宋_GB2312"/>
          <w:kern w:val="0"/>
          <w:sz w:val="32"/>
          <w:szCs w:val="32"/>
        </w:rPr>
        <w:t>计划</w:t>
      </w:r>
      <w:r>
        <w:rPr>
          <w:rFonts w:hint="eastAsia" w:eastAsia="仿宋_GB2312"/>
          <w:kern w:val="0"/>
          <w:sz w:val="32"/>
          <w:szCs w:val="32"/>
        </w:rPr>
        <w:t>监督</w:t>
      </w:r>
      <w:r>
        <w:rPr>
          <w:rFonts w:eastAsia="仿宋_GB2312"/>
          <w:kern w:val="0"/>
          <w:sz w:val="32"/>
          <w:szCs w:val="32"/>
        </w:rPr>
        <w:t>检查企业</w:t>
      </w:r>
      <w:r>
        <w:rPr>
          <w:rFonts w:hint="eastAsia" w:eastAsia="仿宋_GB2312"/>
          <w:kern w:val="0"/>
          <w:sz w:val="32"/>
          <w:szCs w:val="32"/>
        </w:rPr>
        <w:t>共</w:t>
      </w:r>
      <w:r>
        <w:rPr>
          <w:rFonts w:hint="eastAsia" w:eastAsia="仿宋_GB2312"/>
          <w:kern w:val="0"/>
          <w:sz w:val="32"/>
          <w:szCs w:val="32"/>
          <w:lang w:val="en-US" w:eastAsia="zh-CN"/>
        </w:rPr>
        <w:t>50</w:t>
      </w:r>
      <w:r>
        <w:rPr>
          <w:rFonts w:eastAsia="仿宋_GB2312"/>
          <w:kern w:val="0"/>
          <w:sz w:val="32"/>
          <w:szCs w:val="32"/>
        </w:rPr>
        <w:t>家</w:t>
      </w:r>
      <w:r>
        <w:rPr>
          <w:rFonts w:hint="eastAsia" w:eastAsia="仿宋_GB2312"/>
          <w:kern w:val="0"/>
          <w:sz w:val="32"/>
          <w:szCs w:val="32"/>
        </w:rPr>
        <w:t>，按照工作实际情况，各科室、大队具体分配数量见附件</w:t>
      </w:r>
      <w:r>
        <w:rPr>
          <w:rFonts w:hint="eastAsia" w:eastAsia="仿宋_GB2312"/>
          <w:kern w:val="0"/>
          <w:sz w:val="32"/>
          <w:szCs w:val="32"/>
          <w:lang w:val="en-US" w:eastAsia="zh-CN"/>
        </w:rPr>
        <w:t>4</w:t>
      </w:r>
      <w:r>
        <w:rPr>
          <w:rFonts w:hint="eastAsia" w:eastAsia="仿宋_GB2312"/>
          <w:kern w:val="0"/>
          <w:sz w:val="32"/>
          <w:szCs w:val="32"/>
        </w:rPr>
        <w:t>。</w:t>
      </w:r>
    </w:p>
    <w:p w14:paraId="799EF318">
      <w:pPr>
        <w:pStyle w:val="2"/>
        <w:keepNext w:val="0"/>
        <w:keepLines w:val="0"/>
        <w:pageBreakBefore w:val="0"/>
        <w:kinsoku/>
        <w:wordWrap/>
        <w:overflowPunct/>
        <w:topLinePunct w:val="0"/>
        <w:bidi w:val="0"/>
        <w:spacing w:line="560" w:lineRule="exact"/>
        <w:ind w:firstLine="0" w:firstLineChars="0"/>
        <w:rPr>
          <w:rFonts w:hint="eastAsia"/>
        </w:rPr>
      </w:pPr>
    </w:p>
    <w:p w14:paraId="3A904910">
      <w:pPr>
        <w:pStyle w:val="2"/>
        <w:keepNext w:val="0"/>
        <w:keepLines w:val="0"/>
        <w:pageBreakBefore w:val="0"/>
        <w:kinsoku/>
        <w:wordWrap/>
        <w:overflowPunct/>
        <w:topLinePunct w:val="0"/>
        <w:bidi w:val="0"/>
        <w:spacing w:line="560" w:lineRule="exact"/>
        <w:ind w:firstLine="420"/>
        <w:sectPr>
          <w:pgSz w:w="11906" w:h="16838"/>
          <w:pgMar w:top="1985" w:right="1418" w:bottom="1814" w:left="1418" w:header="851" w:footer="1361" w:gutter="0"/>
          <w:pgNumType w:fmt="decimal"/>
          <w:cols w:space="720" w:num="1"/>
          <w:docGrid w:type="lines" w:linePitch="312" w:charSpace="0"/>
        </w:sectPr>
      </w:pPr>
    </w:p>
    <w:p w14:paraId="575AEF49">
      <w:pPr>
        <w:keepNext w:val="0"/>
        <w:keepLines w:val="0"/>
        <w:pageBreakBefore w:val="0"/>
        <w:widowControl w:val="0"/>
        <w:kinsoku/>
        <w:wordWrap/>
        <w:overflowPunct/>
        <w:topLinePunct w:val="0"/>
        <w:autoSpaceDE/>
        <w:bidi w:val="0"/>
        <w:spacing w:line="560" w:lineRule="exact"/>
        <w:ind w:left="0"/>
        <w:jc w:val="left"/>
        <w:textAlignment w:val="auto"/>
        <w:rPr>
          <w:rFonts w:hint="default" w:ascii="Times New Roman" w:hAnsi="Times New Roman" w:eastAsia="方正小标宋简体" w:cs="Times New Roman"/>
          <w:color w:val="auto"/>
          <w:sz w:val="32"/>
          <w:szCs w:val="32"/>
        </w:rPr>
      </w:pPr>
      <w:r>
        <w:rPr>
          <w:rFonts w:hint="default" w:ascii="Times New Roman" w:hAnsi="Times New Roman" w:eastAsia="黑体" w:cs="Times New Roman"/>
          <w:bCs/>
          <w:color w:val="auto"/>
          <w:sz w:val="32"/>
          <w:szCs w:val="32"/>
        </w:rPr>
        <w:t>附件2</w:t>
      </w:r>
    </w:p>
    <w:p w14:paraId="5241BC8F">
      <w:pPr>
        <w:keepNext w:val="0"/>
        <w:keepLines w:val="0"/>
        <w:pageBreakBefore w:val="0"/>
        <w:widowControl w:val="0"/>
        <w:kinsoku/>
        <w:wordWrap/>
        <w:overflowPunct/>
        <w:topLinePunct w:val="0"/>
        <w:autoSpaceDE/>
        <w:bidi w:val="0"/>
        <w:adjustRightInd w:val="0"/>
        <w:snapToGrid w:val="0"/>
        <w:spacing w:line="560" w:lineRule="exact"/>
        <w:ind w:left="0"/>
        <w:jc w:val="center"/>
        <w:textAlignment w:val="auto"/>
        <w:rPr>
          <w:rFonts w:hint="default" w:ascii="Times New Roman" w:hAnsi="Times New Roman" w:cs="Times New Roman"/>
          <w:b/>
          <w:color w:val="auto"/>
          <w:sz w:val="44"/>
          <w:szCs w:val="44"/>
        </w:rPr>
      </w:pPr>
      <w:r>
        <w:rPr>
          <w:rFonts w:hint="default" w:ascii="Times New Roman" w:hAnsi="Times New Roman" w:eastAsia="小标宋" w:cs="Times New Roman"/>
          <w:bCs/>
          <w:color w:val="auto"/>
          <w:sz w:val="44"/>
          <w:szCs w:val="32"/>
        </w:rPr>
        <w:t>202</w:t>
      </w:r>
      <w:r>
        <w:rPr>
          <w:rFonts w:hint="eastAsia" w:ascii="Times New Roman" w:hAnsi="Times New Roman" w:eastAsia="小标宋" w:cs="Times New Roman"/>
          <w:bCs/>
          <w:color w:val="auto"/>
          <w:sz w:val="44"/>
          <w:szCs w:val="32"/>
          <w:lang w:val="en-US" w:eastAsia="zh-CN"/>
        </w:rPr>
        <w:t>5</w:t>
      </w:r>
      <w:r>
        <w:rPr>
          <w:rFonts w:hint="default" w:ascii="Times New Roman" w:hAnsi="Times New Roman" w:eastAsia="小标宋" w:cs="Times New Roman"/>
          <w:bCs/>
          <w:color w:val="auto"/>
          <w:sz w:val="44"/>
          <w:szCs w:val="32"/>
        </w:rPr>
        <w:t>年监督检查重点企业名单</w:t>
      </w:r>
    </w:p>
    <w:p w14:paraId="337AF9FE">
      <w:pPr>
        <w:keepNext w:val="0"/>
        <w:keepLines w:val="0"/>
        <w:pageBreakBefore w:val="0"/>
        <w:widowControl w:val="0"/>
        <w:kinsoku/>
        <w:wordWrap/>
        <w:overflowPunct/>
        <w:topLinePunct w:val="0"/>
        <w:autoSpaceDE/>
        <w:bidi w:val="0"/>
        <w:adjustRightInd w:val="0"/>
        <w:snapToGrid w:val="0"/>
        <w:spacing w:line="560" w:lineRule="exact"/>
        <w:ind w:left="0"/>
        <w:jc w:val="center"/>
        <w:textAlignment w:val="auto"/>
        <w:rPr>
          <w:rFonts w:hint="default" w:ascii="Times New Roman" w:hAnsi="Times New Roman" w:eastAsia="Times New Roman" w:cs="Times New Roman"/>
          <w:color w:val="auto"/>
          <w:sz w:val="32"/>
          <w:szCs w:val="32"/>
        </w:rPr>
      </w:pPr>
      <w:r>
        <w:rPr>
          <w:rFonts w:hint="default" w:ascii="Times New Roman" w:hAnsi="Times New Roman" w:cs="Times New Roman"/>
          <w:color w:val="auto"/>
          <w:sz w:val="32"/>
          <w:szCs w:val="32"/>
        </w:rPr>
        <w:t>（共</w:t>
      </w:r>
      <w:r>
        <w:rPr>
          <w:rFonts w:hint="eastAsia" w:ascii="Times New Roman" w:hAnsi="Times New Roman" w:cs="Times New Roman"/>
          <w:color w:val="auto"/>
          <w:sz w:val="32"/>
          <w:szCs w:val="32"/>
          <w:lang w:val="en-US" w:eastAsia="zh-CN"/>
        </w:rPr>
        <w:t>32</w:t>
      </w:r>
      <w:r>
        <w:rPr>
          <w:rFonts w:hint="default" w:ascii="Times New Roman" w:hAnsi="Times New Roman" w:cs="Times New Roman"/>
          <w:color w:val="auto"/>
          <w:sz w:val="32"/>
          <w:szCs w:val="32"/>
        </w:rPr>
        <w:t>家）</w:t>
      </w:r>
    </w:p>
    <w:p w14:paraId="253B6C77">
      <w:pPr>
        <w:keepNext w:val="0"/>
        <w:keepLines w:val="0"/>
        <w:pageBreakBefore w:val="0"/>
        <w:widowControl w:val="0"/>
        <w:kinsoku/>
        <w:wordWrap/>
        <w:overflowPunct/>
        <w:topLinePunct w:val="0"/>
        <w:autoSpaceDE/>
        <w:bidi w:val="0"/>
        <w:adjustRightInd w:val="0"/>
        <w:snapToGrid w:val="0"/>
        <w:spacing w:line="560" w:lineRule="exact"/>
        <w:ind w:left="0" w:firstLine="640" w:firstLineChars="200"/>
        <w:textAlignment w:val="auto"/>
        <w:rPr>
          <w:rFonts w:hint="default" w:ascii="Times New Roman" w:hAnsi="Times New Roman" w:eastAsia="方正小标宋简体" w:cs="Times New Roman"/>
          <w:color w:val="auto"/>
          <w:sz w:val="32"/>
          <w:szCs w:val="32"/>
        </w:rPr>
      </w:pPr>
    </w:p>
    <w:p w14:paraId="100FD07A">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textAlignment w:val="auto"/>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一、</w:t>
      </w:r>
      <w:r>
        <w:rPr>
          <w:rFonts w:hint="default" w:ascii="Times New Roman" w:hAnsi="Times New Roman" w:eastAsia="黑体" w:cs="Times New Roman"/>
          <w:color w:val="auto"/>
          <w:sz w:val="32"/>
          <w:szCs w:val="32"/>
          <w:lang w:eastAsia="zh-CN"/>
        </w:rPr>
        <w:t>综合办公室</w:t>
      </w:r>
      <w:r>
        <w:rPr>
          <w:rFonts w:hint="default" w:ascii="Times New Roman" w:hAnsi="Times New Roman" w:eastAsia="黑体" w:cs="Times New Roman"/>
          <w:color w:val="auto"/>
          <w:sz w:val="32"/>
          <w:szCs w:val="32"/>
        </w:rPr>
        <w:t>（</w:t>
      </w:r>
      <w:r>
        <w:rPr>
          <w:rFonts w:hint="eastAsia" w:ascii="Times New Roman" w:hAnsi="Times New Roman" w:eastAsia="黑体" w:cs="Times New Roman"/>
          <w:color w:val="auto"/>
          <w:sz w:val="32"/>
          <w:szCs w:val="32"/>
          <w:lang w:val="en-US" w:eastAsia="zh-CN"/>
        </w:rPr>
        <w:t>4</w:t>
      </w:r>
      <w:r>
        <w:rPr>
          <w:rFonts w:hint="default" w:ascii="Times New Roman" w:hAnsi="Times New Roman" w:eastAsia="黑体" w:cs="Times New Roman"/>
          <w:color w:val="auto"/>
          <w:sz w:val="32"/>
          <w:szCs w:val="32"/>
        </w:rPr>
        <w:t>家）</w:t>
      </w:r>
    </w:p>
    <w:p w14:paraId="463063C9">
      <w:pPr>
        <w:keepNext w:val="0"/>
        <w:keepLines w:val="0"/>
        <w:pageBreakBefore w:val="0"/>
        <w:widowControl w:val="0"/>
        <w:tabs>
          <w:tab w:val="left" w:pos="629"/>
        </w:tabs>
        <w:kinsoku/>
        <w:wordWrap/>
        <w:overflowPunct/>
        <w:topLinePunct w:val="0"/>
        <w:autoSpaceDE/>
        <w:autoSpaceDN/>
        <w:bidi w:val="0"/>
        <w:spacing w:line="600" w:lineRule="exact"/>
        <w:textAlignment w:val="auto"/>
        <w:rPr>
          <w:rFonts w:hint="eastAsia" w:ascii="Times New Roman" w:hAnsi="Times New Roman" w:eastAsia="华文仿宋" w:cs="Times New Roman"/>
          <w:color w:val="auto"/>
          <w:kern w:val="2"/>
          <w:sz w:val="32"/>
          <w:szCs w:val="32"/>
          <w:lang w:val="en-US" w:eastAsia="zh-CN" w:bidi="ar-SA"/>
        </w:rPr>
      </w:pPr>
      <w:r>
        <w:rPr>
          <w:rFonts w:hint="eastAsia" w:ascii="Times New Roman" w:hAnsi="Times New Roman" w:eastAsia="华文仿宋" w:cs="Times New Roman"/>
          <w:color w:val="auto"/>
          <w:kern w:val="2"/>
          <w:sz w:val="32"/>
          <w:szCs w:val="32"/>
          <w:lang w:val="en-US" w:eastAsia="zh-CN" w:bidi="ar-SA"/>
        </w:rPr>
        <w:t>1、</w:t>
      </w:r>
      <w:r>
        <w:rPr>
          <w:rFonts w:hint="default" w:ascii="Times New Roman" w:hAnsi="Times New Roman" w:eastAsia="华文仿宋" w:cs="Times New Roman"/>
          <w:color w:val="auto"/>
          <w:kern w:val="2"/>
          <w:sz w:val="32"/>
          <w:szCs w:val="32"/>
          <w:lang w:val="en-US" w:eastAsia="zh-CN" w:bidi="ar-SA"/>
        </w:rPr>
        <w:t>秦皇岛华恒生物工程有限公司</w:t>
      </w:r>
    </w:p>
    <w:p w14:paraId="08D4FA66">
      <w:pPr>
        <w:keepNext w:val="0"/>
        <w:keepLines w:val="0"/>
        <w:pageBreakBefore w:val="0"/>
        <w:widowControl w:val="0"/>
        <w:tabs>
          <w:tab w:val="left" w:pos="629"/>
        </w:tabs>
        <w:kinsoku/>
        <w:wordWrap/>
        <w:overflowPunct/>
        <w:topLinePunct w:val="0"/>
        <w:autoSpaceDE/>
        <w:autoSpaceDN/>
        <w:bidi w:val="0"/>
        <w:spacing w:line="600" w:lineRule="exact"/>
        <w:textAlignment w:val="auto"/>
        <w:rPr>
          <w:rFonts w:hint="default" w:ascii="Times New Roman" w:hAnsi="Times New Roman" w:eastAsia="华文仿宋" w:cs="Times New Roman"/>
          <w:color w:val="auto"/>
          <w:kern w:val="2"/>
          <w:sz w:val="32"/>
          <w:szCs w:val="32"/>
          <w:lang w:val="en-US" w:eastAsia="zh-CN" w:bidi="ar-SA"/>
        </w:rPr>
      </w:pPr>
      <w:r>
        <w:rPr>
          <w:rFonts w:hint="eastAsia" w:ascii="Times New Roman" w:hAnsi="Times New Roman" w:eastAsia="华文仿宋" w:cs="Times New Roman"/>
          <w:color w:val="auto"/>
          <w:kern w:val="2"/>
          <w:sz w:val="32"/>
          <w:szCs w:val="32"/>
          <w:lang w:val="en-US" w:eastAsia="zh-CN" w:bidi="ar-SA"/>
        </w:rPr>
        <w:t>2、</w:t>
      </w:r>
      <w:r>
        <w:rPr>
          <w:rFonts w:hint="default" w:ascii="Times New Roman" w:hAnsi="Times New Roman" w:eastAsia="华文仿宋" w:cs="Times New Roman"/>
          <w:color w:val="auto"/>
          <w:kern w:val="2"/>
          <w:sz w:val="32"/>
          <w:szCs w:val="32"/>
          <w:lang w:val="en-US" w:eastAsia="zh-CN" w:bidi="ar-SA"/>
        </w:rPr>
        <w:t>秦皇岛海三建筑构件制造有限公司</w:t>
      </w:r>
    </w:p>
    <w:p w14:paraId="31944339">
      <w:pPr>
        <w:keepNext w:val="0"/>
        <w:keepLines w:val="0"/>
        <w:pageBreakBefore w:val="0"/>
        <w:widowControl w:val="0"/>
        <w:tabs>
          <w:tab w:val="left" w:pos="629"/>
        </w:tabs>
        <w:kinsoku/>
        <w:wordWrap/>
        <w:overflowPunct/>
        <w:topLinePunct w:val="0"/>
        <w:autoSpaceDE/>
        <w:autoSpaceDN/>
        <w:bidi w:val="0"/>
        <w:spacing w:line="600" w:lineRule="exact"/>
        <w:textAlignment w:val="auto"/>
        <w:rPr>
          <w:rFonts w:hint="default" w:ascii="Times New Roman" w:hAnsi="Times New Roman" w:eastAsia="华文仿宋" w:cs="Times New Roman"/>
          <w:color w:val="auto"/>
          <w:kern w:val="2"/>
          <w:sz w:val="32"/>
          <w:szCs w:val="32"/>
          <w:lang w:val="en-US" w:eastAsia="zh-CN" w:bidi="ar-SA"/>
        </w:rPr>
      </w:pPr>
      <w:r>
        <w:rPr>
          <w:rFonts w:hint="eastAsia" w:ascii="Times New Roman" w:hAnsi="Times New Roman" w:eastAsia="华文仿宋" w:cs="Times New Roman"/>
          <w:color w:val="auto"/>
          <w:kern w:val="2"/>
          <w:sz w:val="32"/>
          <w:szCs w:val="32"/>
          <w:lang w:val="en-US" w:eastAsia="zh-CN" w:bidi="ar-SA"/>
        </w:rPr>
        <w:t>3、秦皇岛</w:t>
      </w:r>
      <w:r>
        <w:rPr>
          <w:rFonts w:hint="default" w:ascii="Times New Roman" w:hAnsi="Times New Roman" w:eastAsia="华文仿宋" w:cs="Times New Roman"/>
          <w:color w:val="auto"/>
          <w:kern w:val="2"/>
          <w:sz w:val="32"/>
          <w:szCs w:val="32"/>
          <w:lang w:val="en-US" w:eastAsia="zh-CN" w:bidi="ar-SA"/>
        </w:rPr>
        <w:t>新铁德奥道岔有限公司</w:t>
      </w:r>
    </w:p>
    <w:p w14:paraId="21DE1AD7">
      <w:pPr>
        <w:keepNext w:val="0"/>
        <w:keepLines w:val="0"/>
        <w:pageBreakBefore w:val="0"/>
        <w:widowControl w:val="0"/>
        <w:tabs>
          <w:tab w:val="left" w:pos="629"/>
        </w:tabs>
        <w:kinsoku/>
        <w:wordWrap/>
        <w:overflowPunct/>
        <w:topLinePunct w:val="0"/>
        <w:autoSpaceDE/>
        <w:autoSpaceDN/>
        <w:bidi w:val="0"/>
        <w:spacing w:line="600" w:lineRule="exact"/>
        <w:textAlignment w:val="auto"/>
        <w:rPr>
          <w:rFonts w:hint="default" w:ascii="Times New Roman" w:hAnsi="Times New Roman" w:eastAsia="华文仿宋" w:cs="Times New Roman"/>
          <w:color w:val="auto"/>
          <w:kern w:val="2"/>
          <w:sz w:val="32"/>
          <w:szCs w:val="32"/>
          <w:lang w:val="en-US" w:eastAsia="zh-CN" w:bidi="ar-SA"/>
        </w:rPr>
      </w:pPr>
      <w:r>
        <w:rPr>
          <w:rFonts w:hint="eastAsia" w:ascii="Times New Roman" w:hAnsi="Times New Roman" w:eastAsia="华文仿宋" w:cs="Times New Roman"/>
          <w:color w:val="auto"/>
          <w:kern w:val="2"/>
          <w:sz w:val="32"/>
          <w:szCs w:val="32"/>
          <w:lang w:val="en-US" w:eastAsia="zh-CN" w:bidi="ar-SA"/>
        </w:rPr>
        <w:t>4、</w:t>
      </w:r>
      <w:r>
        <w:rPr>
          <w:rFonts w:hint="default" w:ascii="Times New Roman" w:hAnsi="Times New Roman" w:eastAsia="华文仿宋" w:cs="Times New Roman"/>
          <w:color w:val="auto"/>
          <w:kern w:val="2"/>
          <w:sz w:val="32"/>
          <w:szCs w:val="32"/>
          <w:lang w:val="en-US" w:eastAsia="zh-CN" w:bidi="ar-SA"/>
        </w:rPr>
        <w:t>秦皇岛市山海关工务器材厂</w:t>
      </w:r>
    </w:p>
    <w:p w14:paraId="33A763BA">
      <w:pPr>
        <w:keepNext w:val="0"/>
        <w:keepLines w:val="0"/>
        <w:pageBreakBefore w:val="0"/>
        <w:widowControl w:val="0"/>
        <w:numPr>
          <w:ilvl w:val="0"/>
          <w:numId w:val="1"/>
        </w:numPr>
        <w:kinsoku/>
        <w:wordWrap/>
        <w:overflowPunct/>
        <w:topLinePunct w:val="0"/>
        <w:autoSpaceDE/>
        <w:autoSpaceDN/>
        <w:bidi w:val="0"/>
        <w:adjustRightInd w:val="0"/>
        <w:snapToGrid w:val="0"/>
        <w:spacing w:line="560" w:lineRule="exact"/>
        <w:ind w:left="0" w:firstLine="640" w:firstLineChars="200"/>
        <w:textAlignment w:val="auto"/>
        <w:rPr>
          <w:rFonts w:hint="default" w:ascii="Times New Roman" w:hAnsi="Times New Roman" w:eastAsia="华文仿宋" w:cs="Times New Roman"/>
          <w:color w:val="auto"/>
          <w:sz w:val="32"/>
          <w:szCs w:val="32"/>
          <w:lang w:val="en-US" w:eastAsia="zh-CN"/>
        </w:rPr>
      </w:pPr>
      <w:r>
        <w:rPr>
          <w:rFonts w:hint="default" w:ascii="Times New Roman" w:hAnsi="Times New Roman" w:eastAsia="黑体" w:cs="Times New Roman"/>
          <w:color w:val="auto"/>
          <w:sz w:val="32"/>
          <w:szCs w:val="32"/>
          <w:lang w:eastAsia="zh-CN"/>
        </w:rPr>
        <w:t>综合业务管理股</w:t>
      </w:r>
      <w:r>
        <w:rPr>
          <w:rFonts w:hint="default" w:ascii="Times New Roman" w:hAnsi="Times New Roman" w:eastAsia="黑体" w:cs="Times New Roman"/>
          <w:color w:val="auto"/>
          <w:sz w:val="32"/>
          <w:szCs w:val="32"/>
        </w:rPr>
        <w:t>（</w:t>
      </w:r>
      <w:r>
        <w:rPr>
          <w:rFonts w:hint="eastAsia" w:ascii="Times New Roman" w:hAnsi="Times New Roman" w:eastAsia="黑体" w:cs="Times New Roman"/>
          <w:color w:val="auto"/>
          <w:sz w:val="32"/>
          <w:szCs w:val="32"/>
          <w:lang w:val="en-US" w:eastAsia="zh-CN"/>
        </w:rPr>
        <w:t>4</w:t>
      </w:r>
      <w:r>
        <w:rPr>
          <w:rFonts w:hint="default" w:ascii="Times New Roman" w:hAnsi="Times New Roman" w:eastAsia="黑体" w:cs="Times New Roman"/>
          <w:color w:val="auto"/>
          <w:sz w:val="32"/>
          <w:szCs w:val="32"/>
        </w:rPr>
        <w:t>家）</w:t>
      </w:r>
    </w:p>
    <w:p w14:paraId="2D5910C6">
      <w:pPr>
        <w:keepNext w:val="0"/>
        <w:keepLines w:val="0"/>
        <w:pageBreakBefore w:val="0"/>
        <w:widowControl w:val="0"/>
        <w:tabs>
          <w:tab w:val="left" w:pos="629"/>
        </w:tabs>
        <w:kinsoku/>
        <w:wordWrap/>
        <w:overflowPunct/>
        <w:topLinePunct w:val="0"/>
        <w:autoSpaceDE/>
        <w:autoSpaceDN/>
        <w:bidi w:val="0"/>
        <w:spacing w:line="600" w:lineRule="exact"/>
        <w:textAlignment w:val="auto"/>
        <w:rPr>
          <w:rFonts w:hint="default" w:ascii="Times New Roman" w:hAnsi="Times New Roman" w:eastAsia="华文仿宋" w:cs="Times New Roman"/>
          <w:color w:val="auto"/>
          <w:kern w:val="2"/>
          <w:sz w:val="32"/>
          <w:szCs w:val="32"/>
          <w:lang w:val="en-US" w:eastAsia="zh-CN" w:bidi="ar-SA"/>
        </w:rPr>
      </w:pPr>
      <w:r>
        <w:rPr>
          <w:rFonts w:hint="eastAsia" w:ascii="Times New Roman" w:hAnsi="Times New Roman" w:eastAsia="华文仿宋" w:cs="Times New Roman"/>
          <w:color w:val="auto"/>
          <w:kern w:val="2"/>
          <w:sz w:val="32"/>
          <w:szCs w:val="32"/>
          <w:lang w:val="en-US" w:eastAsia="zh-CN" w:bidi="ar-SA"/>
        </w:rPr>
        <w:t>1、</w:t>
      </w:r>
      <w:r>
        <w:rPr>
          <w:rFonts w:hint="default" w:ascii="Times New Roman" w:hAnsi="Times New Roman" w:eastAsia="华文仿宋" w:cs="Times New Roman"/>
          <w:color w:val="auto"/>
          <w:kern w:val="2"/>
          <w:sz w:val="32"/>
          <w:szCs w:val="32"/>
          <w:lang w:val="en-US" w:eastAsia="zh-CN" w:bidi="ar-SA"/>
        </w:rPr>
        <w:t>秦皇岛市山海关桥服铁路器材有限公司</w:t>
      </w:r>
    </w:p>
    <w:p w14:paraId="345B4F1E">
      <w:pPr>
        <w:keepNext w:val="0"/>
        <w:keepLines w:val="0"/>
        <w:pageBreakBefore w:val="0"/>
        <w:widowControl w:val="0"/>
        <w:tabs>
          <w:tab w:val="left" w:pos="629"/>
        </w:tabs>
        <w:kinsoku/>
        <w:wordWrap/>
        <w:overflowPunct/>
        <w:topLinePunct w:val="0"/>
        <w:autoSpaceDE/>
        <w:autoSpaceDN/>
        <w:bidi w:val="0"/>
        <w:spacing w:line="600" w:lineRule="exact"/>
        <w:textAlignment w:val="auto"/>
        <w:rPr>
          <w:rFonts w:hint="default" w:ascii="Times New Roman" w:hAnsi="Times New Roman" w:eastAsia="华文仿宋" w:cs="Times New Roman"/>
          <w:color w:val="auto"/>
          <w:kern w:val="2"/>
          <w:sz w:val="32"/>
          <w:szCs w:val="32"/>
          <w:lang w:val="en-US" w:eastAsia="zh-CN" w:bidi="ar-SA"/>
        </w:rPr>
      </w:pPr>
      <w:r>
        <w:rPr>
          <w:rFonts w:hint="eastAsia" w:ascii="Times New Roman" w:hAnsi="Times New Roman" w:eastAsia="华文仿宋" w:cs="Times New Roman"/>
          <w:color w:val="auto"/>
          <w:kern w:val="2"/>
          <w:sz w:val="32"/>
          <w:szCs w:val="32"/>
          <w:lang w:val="en-US" w:eastAsia="zh-CN" w:bidi="ar-SA"/>
        </w:rPr>
        <w:t>2、</w:t>
      </w:r>
      <w:r>
        <w:rPr>
          <w:rFonts w:hint="default" w:ascii="Times New Roman" w:hAnsi="Times New Roman" w:eastAsia="华文仿宋" w:cs="Times New Roman"/>
          <w:color w:val="auto"/>
          <w:kern w:val="2"/>
          <w:sz w:val="32"/>
          <w:szCs w:val="32"/>
          <w:lang w:val="en-US" w:eastAsia="zh-CN" w:bidi="ar-SA"/>
        </w:rPr>
        <w:t>秦皇岛东燕管业有限公司</w:t>
      </w:r>
    </w:p>
    <w:p w14:paraId="721A2672">
      <w:pPr>
        <w:keepNext w:val="0"/>
        <w:keepLines w:val="0"/>
        <w:pageBreakBefore w:val="0"/>
        <w:widowControl w:val="0"/>
        <w:tabs>
          <w:tab w:val="left" w:pos="629"/>
        </w:tabs>
        <w:kinsoku/>
        <w:wordWrap/>
        <w:overflowPunct/>
        <w:topLinePunct w:val="0"/>
        <w:autoSpaceDE/>
        <w:autoSpaceDN/>
        <w:bidi w:val="0"/>
        <w:spacing w:line="600" w:lineRule="exact"/>
        <w:textAlignment w:val="auto"/>
        <w:rPr>
          <w:rFonts w:hint="default" w:ascii="Times New Roman" w:hAnsi="Times New Roman" w:eastAsia="华文仿宋" w:cs="Times New Roman"/>
          <w:color w:val="auto"/>
          <w:kern w:val="2"/>
          <w:sz w:val="32"/>
          <w:szCs w:val="32"/>
          <w:lang w:val="en-US" w:eastAsia="zh-CN" w:bidi="ar-SA"/>
        </w:rPr>
      </w:pPr>
      <w:r>
        <w:rPr>
          <w:rFonts w:hint="eastAsia" w:ascii="Times New Roman" w:hAnsi="Times New Roman" w:eastAsia="华文仿宋" w:cs="Times New Roman"/>
          <w:color w:val="auto"/>
          <w:kern w:val="2"/>
          <w:sz w:val="32"/>
          <w:szCs w:val="32"/>
          <w:lang w:val="en-US" w:eastAsia="zh-CN" w:bidi="ar-SA"/>
        </w:rPr>
        <w:t>3、</w:t>
      </w:r>
      <w:r>
        <w:rPr>
          <w:rFonts w:hint="default" w:ascii="Times New Roman" w:hAnsi="Times New Roman" w:eastAsia="华文仿宋" w:cs="Times New Roman"/>
          <w:color w:val="auto"/>
          <w:kern w:val="2"/>
          <w:sz w:val="32"/>
          <w:szCs w:val="32"/>
          <w:lang w:val="en-US" w:eastAsia="zh-CN" w:bidi="ar-SA"/>
        </w:rPr>
        <w:t>秦皇岛三融食品有限公司</w:t>
      </w:r>
    </w:p>
    <w:p w14:paraId="4A362655">
      <w:pPr>
        <w:keepNext w:val="0"/>
        <w:keepLines w:val="0"/>
        <w:pageBreakBefore w:val="0"/>
        <w:widowControl w:val="0"/>
        <w:tabs>
          <w:tab w:val="left" w:pos="629"/>
        </w:tabs>
        <w:kinsoku/>
        <w:wordWrap/>
        <w:overflowPunct/>
        <w:topLinePunct w:val="0"/>
        <w:autoSpaceDE/>
        <w:autoSpaceDN/>
        <w:bidi w:val="0"/>
        <w:spacing w:line="600" w:lineRule="exact"/>
        <w:textAlignment w:val="auto"/>
        <w:rPr>
          <w:rFonts w:hint="default" w:ascii="Times New Roman" w:hAnsi="Times New Roman" w:eastAsia="华文仿宋" w:cs="Times New Roman"/>
          <w:color w:val="auto"/>
          <w:kern w:val="2"/>
          <w:sz w:val="32"/>
          <w:szCs w:val="32"/>
          <w:lang w:val="en-US" w:eastAsia="zh-CN" w:bidi="ar-SA"/>
        </w:rPr>
      </w:pPr>
      <w:r>
        <w:rPr>
          <w:rFonts w:hint="eastAsia" w:ascii="Times New Roman" w:hAnsi="Times New Roman" w:eastAsia="华文仿宋" w:cs="Times New Roman"/>
          <w:color w:val="auto"/>
          <w:kern w:val="2"/>
          <w:sz w:val="32"/>
          <w:szCs w:val="32"/>
          <w:lang w:val="en-US" w:eastAsia="zh-CN" w:bidi="ar-SA"/>
        </w:rPr>
        <w:t>4、</w:t>
      </w:r>
      <w:r>
        <w:rPr>
          <w:rFonts w:hint="default" w:ascii="Times New Roman" w:hAnsi="Times New Roman" w:eastAsia="华文仿宋" w:cs="Times New Roman"/>
          <w:color w:val="auto"/>
          <w:kern w:val="2"/>
          <w:sz w:val="32"/>
          <w:szCs w:val="32"/>
          <w:lang w:val="en-US" w:eastAsia="zh-CN" w:bidi="ar-SA"/>
        </w:rPr>
        <w:t>秦皇岛核诚镍业有限公司</w:t>
      </w:r>
    </w:p>
    <w:p w14:paraId="0B2298A9">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黑体" w:cs="Times New Roman"/>
          <w:color w:val="auto"/>
          <w:kern w:val="0"/>
          <w:sz w:val="32"/>
          <w:szCs w:val="32"/>
          <w:lang w:val="en-US" w:eastAsia="zh-CN"/>
        </w:rPr>
      </w:pPr>
      <w:r>
        <w:rPr>
          <w:rFonts w:hint="eastAsia" w:ascii="Times New Roman" w:hAnsi="Times New Roman" w:eastAsia="黑体" w:cs="Times New Roman"/>
          <w:color w:val="auto"/>
          <w:kern w:val="0"/>
          <w:sz w:val="32"/>
          <w:szCs w:val="32"/>
          <w:lang w:eastAsia="zh-CN"/>
        </w:rPr>
        <w:t>三、应急管理</w:t>
      </w:r>
      <w:r>
        <w:rPr>
          <w:rFonts w:hint="default" w:ascii="Times New Roman" w:hAnsi="Times New Roman" w:eastAsia="黑体" w:cs="Times New Roman"/>
          <w:color w:val="auto"/>
          <w:kern w:val="0"/>
          <w:sz w:val="32"/>
          <w:szCs w:val="32"/>
          <w:lang w:eastAsia="zh-CN"/>
        </w:rPr>
        <w:t>综合</w:t>
      </w:r>
      <w:r>
        <w:rPr>
          <w:rFonts w:hint="eastAsia" w:ascii="Times New Roman" w:hAnsi="Times New Roman" w:eastAsia="黑体" w:cs="Times New Roman"/>
          <w:color w:val="auto"/>
          <w:kern w:val="0"/>
          <w:sz w:val="32"/>
          <w:szCs w:val="32"/>
          <w:lang w:eastAsia="zh-CN"/>
        </w:rPr>
        <w:t>行政</w:t>
      </w:r>
      <w:r>
        <w:rPr>
          <w:rFonts w:hint="default" w:ascii="Times New Roman" w:hAnsi="Times New Roman" w:eastAsia="黑体" w:cs="Times New Roman"/>
          <w:color w:val="auto"/>
          <w:kern w:val="0"/>
          <w:sz w:val="32"/>
          <w:szCs w:val="32"/>
          <w:lang w:eastAsia="zh-CN"/>
        </w:rPr>
        <w:t>执法监察大队</w:t>
      </w:r>
      <w:r>
        <w:rPr>
          <w:rFonts w:hint="default" w:ascii="Times New Roman" w:hAnsi="Times New Roman" w:eastAsia="黑体" w:cs="Times New Roman"/>
          <w:color w:val="auto"/>
          <w:kern w:val="0"/>
          <w:sz w:val="32"/>
          <w:szCs w:val="32"/>
        </w:rPr>
        <w:t>（</w:t>
      </w:r>
      <w:r>
        <w:rPr>
          <w:rFonts w:hint="eastAsia" w:ascii="Times New Roman" w:hAnsi="Times New Roman" w:eastAsia="黑体" w:cs="Times New Roman"/>
          <w:color w:val="auto"/>
          <w:kern w:val="0"/>
          <w:sz w:val="32"/>
          <w:szCs w:val="32"/>
          <w:lang w:val="en-US" w:eastAsia="zh-CN"/>
        </w:rPr>
        <w:t>24</w:t>
      </w:r>
      <w:r>
        <w:rPr>
          <w:rFonts w:hint="default" w:ascii="Times New Roman" w:hAnsi="Times New Roman" w:eastAsia="黑体" w:cs="Times New Roman"/>
          <w:color w:val="auto"/>
          <w:kern w:val="0"/>
          <w:sz w:val="32"/>
          <w:szCs w:val="32"/>
        </w:rPr>
        <w:t>家）</w:t>
      </w:r>
    </w:p>
    <w:p w14:paraId="1F36E135">
      <w:pPr>
        <w:keepNext w:val="0"/>
        <w:keepLines w:val="0"/>
        <w:pageBreakBefore w:val="0"/>
        <w:widowControl w:val="0"/>
        <w:tabs>
          <w:tab w:val="left" w:pos="629"/>
        </w:tabs>
        <w:kinsoku/>
        <w:wordWrap/>
        <w:overflowPunct/>
        <w:topLinePunct w:val="0"/>
        <w:autoSpaceDE/>
        <w:autoSpaceDN/>
        <w:bidi w:val="0"/>
        <w:spacing w:line="600" w:lineRule="exact"/>
        <w:textAlignment w:val="auto"/>
        <w:rPr>
          <w:rFonts w:hint="default" w:ascii="Times New Roman" w:hAnsi="Times New Roman" w:eastAsia="华文仿宋" w:cs="Times New Roman"/>
          <w:color w:val="auto"/>
          <w:kern w:val="2"/>
          <w:sz w:val="32"/>
          <w:szCs w:val="32"/>
          <w:lang w:val="en-US" w:eastAsia="zh-CN" w:bidi="ar-SA"/>
        </w:rPr>
      </w:pPr>
      <w:r>
        <w:rPr>
          <w:rFonts w:hint="eastAsia" w:ascii="Times New Roman" w:hAnsi="Times New Roman" w:eastAsia="华文仿宋" w:cs="Times New Roman"/>
          <w:color w:val="auto"/>
          <w:kern w:val="2"/>
          <w:sz w:val="32"/>
          <w:szCs w:val="32"/>
          <w:lang w:val="en-US" w:eastAsia="zh-CN" w:bidi="ar-SA"/>
        </w:rPr>
        <w:t>1、</w:t>
      </w:r>
      <w:r>
        <w:rPr>
          <w:rFonts w:hint="default" w:ascii="Times New Roman" w:hAnsi="Times New Roman" w:eastAsia="华文仿宋" w:cs="Times New Roman"/>
          <w:color w:val="auto"/>
          <w:kern w:val="2"/>
          <w:sz w:val="32"/>
          <w:szCs w:val="32"/>
          <w:lang w:val="en-US" w:eastAsia="zh-CN" w:bidi="ar-SA"/>
        </w:rPr>
        <w:t>河北壳牌石油销售有限公司山海关加油站</w:t>
      </w:r>
    </w:p>
    <w:p w14:paraId="05622C8E">
      <w:pPr>
        <w:keepNext w:val="0"/>
        <w:keepLines w:val="0"/>
        <w:pageBreakBefore w:val="0"/>
        <w:widowControl w:val="0"/>
        <w:tabs>
          <w:tab w:val="left" w:pos="629"/>
        </w:tabs>
        <w:kinsoku/>
        <w:wordWrap/>
        <w:overflowPunct/>
        <w:topLinePunct w:val="0"/>
        <w:autoSpaceDE/>
        <w:autoSpaceDN/>
        <w:bidi w:val="0"/>
        <w:spacing w:line="600" w:lineRule="exact"/>
        <w:textAlignment w:val="auto"/>
        <w:rPr>
          <w:rFonts w:hint="default" w:ascii="Times New Roman" w:hAnsi="Times New Roman" w:eastAsia="华文仿宋" w:cs="Times New Roman"/>
          <w:color w:val="auto"/>
          <w:kern w:val="2"/>
          <w:sz w:val="32"/>
          <w:szCs w:val="32"/>
          <w:lang w:val="en-US" w:eastAsia="zh-CN" w:bidi="ar-SA"/>
        </w:rPr>
      </w:pPr>
      <w:r>
        <w:rPr>
          <w:rFonts w:hint="eastAsia" w:ascii="Times New Roman" w:hAnsi="Times New Roman" w:eastAsia="华文仿宋" w:cs="Times New Roman"/>
          <w:color w:val="auto"/>
          <w:kern w:val="2"/>
          <w:sz w:val="32"/>
          <w:szCs w:val="32"/>
          <w:lang w:val="en-US" w:eastAsia="zh-CN" w:bidi="ar-SA"/>
        </w:rPr>
        <w:t>2、</w:t>
      </w:r>
      <w:r>
        <w:rPr>
          <w:rFonts w:hint="default" w:ascii="Times New Roman" w:hAnsi="Times New Roman" w:eastAsia="华文仿宋" w:cs="Times New Roman"/>
          <w:color w:val="auto"/>
          <w:kern w:val="2"/>
          <w:sz w:val="32"/>
          <w:szCs w:val="32"/>
          <w:lang w:val="en-US" w:eastAsia="zh-CN" w:bidi="ar-SA"/>
        </w:rPr>
        <w:t>秦皇岛市山海关鑫达加油站</w:t>
      </w:r>
    </w:p>
    <w:p w14:paraId="040196F9">
      <w:pPr>
        <w:keepNext w:val="0"/>
        <w:keepLines w:val="0"/>
        <w:pageBreakBefore w:val="0"/>
        <w:widowControl w:val="0"/>
        <w:tabs>
          <w:tab w:val="left" w:pos="629"/>
        </w:tabs>
        <w:kinsoku/>
        <w:wordWrap/>
        <w:overflowPunct/>
        <w:topLinePunct w:val="0"/>
        <w:autoSpaceDE/>
        <w:autoSpaceDN/>
        <w:bidi w:val="0"/>
        <w:spacing w:line="600" w:lineRule="exact"/>
        <w:textAlignment w:val="auto"/>
        <w:rPr>
          <w:rFonts w:hint="default" w:ascii="Times New Roman" w:hAnsi="Times New Roman" w:eastAsia="华文仿宋" w:cs="Times New Roman"/>
          <w:color w:val="auto"/>
          <w:kern w:val="2"/>
          <w:sz w:val="32"/>
          <w:szCs w:val="32"/>
          <w:lang w:val="en-US" w:eastAsia="zh-CN" w:bidi="ar-SA"/>
        </w:rPr>
      </w:pPr>
      <w:r>
        <w:rPr>
          <w:rFonts w:hint="eastAsia" w:ascii="Times New Roman" w:hAnsi="Times New Roman" w:eastAsia="华文仿宋" w:cs="Times New Roman"/>
          <w:color w:val="auto"/>
          <w:kern w:val="2"/>
          <w:sz w:val="32"/>
          <w:szCs w:val="32"/>
          <w:lang w:val="en-US" w:eastAsia="zh-CN" w:bidi="ar-SA"/>
        </w:rPr>
        <w:t>3、</w:t>
      </w:r>
      <w:r>
        <w:rPr>
          <w:rFonts w:hint="default" w:ascii="Times New Roman" w:hAnsi="Times New Roman" w:eastAsia="华文仿宋" w:cs="Times New Roman"/>
          <w:color w:val="auto"/>
          <w:kern w:val="2"/>
          <w:sz w:val="32"/>
          <w:szCs w:val="32"/>
          <w:lang w:val="en-US" w:eastAsia="zh-CN" w:bidi="ar-SA"/>
        </w:rPr>
        <w:t>秦皇岛市山海关南窑河顺意加油站</w:t>
      </w:r>
    </w:p>
    <w:p w14:paraId="035E121F">
      <w:pPr>
        <w:keepNext w:val="0"/>
        <w:keepLines w:val="0"/>
        <w:pageBreakBefore w:val="0"/>
        <w:widowControl w:val="0"/>
        <w:tabs>
          <w:tab w:val="left" w:pos="629"/>
        </w:tabs>
        <w:kinsoku/>
        <w:wordWrap/>
        <w:overflowPunct/>
        <w:topLinePunct w:val="0"/>
        <w:autoSpaceDE/>
        <w:autoSpaceDN/>
        <w:bidi w:val="0"/>
        <w:spacing w:line="600" w:lineRule="exact"/>
        <w:textAlignment w:val="auto"/>
        <w:rPr>
          <w:rFonts w:hint="default" w:ascii="Times New Roman" w:hAnsi="Times New Roman" w:eastAsia="华文仿宋" w:cs="Times New Roman"/>
          <w:color w:val="auto"/>
          <w:kern w:val="2"/>
          <w:sz w:val="32"/>
          <w:szCs w:val="32"/>
          <w:lang w:val="en-US" w:eastAsia="zh-CN" w:bidi="ar-SA"/>
        </w:rPr>
      </w:pPr>
      <w:r>
        <w:rPr>
          <w:rFonts w:hint="eastAsia" w:ascii="Times New Roman" w:hAnsi="Times New Roman" w:eastAsia="华文仿宋" w:cs="Times New Roman"/>
          <w:color w:val="auto"/>
          <w:kern w:val="2"/>
          <w:sz w:val="32"/>
          <w:szCs w:val="32"/>
          <w:lang w:val="en-US" w:eastAsia="zh-CN" w:bidi="ar-SA"/>
        </w:rPr>
        <w:t>4、</w:t>
      </w:r>
      <w:r>
        <w:rPr>
          <w:rFonts w:hint="default" w:ascii="Times New Roman" w:hAnsi="Times New Roman" w:eastAsia="华文仿宋" w:cs="Times New Roman"/>
          <w:color w:val="auto"/>
          <w:kern w:val="2"/>
          <w:sz w:val="32"/>
          <w:szCs w:val="32"/>
          <w:lang w:val="en-US" w:eastAsia="zh-CN" w:bidi="ar-SA"/>
        </w:rPr>
        <w:t>秦皇岛市山海关户远寨农用加油站</w:t>
      </w:r>
    </w:p>
    <w:p w14:paraId="6DE1C93C">
      <w:pPr>
        <w:keepNext w:val="0"/>
        <w:keepLines w:val="0"/>
        <w:pageBreakBefore w:val="0"/>
        <w:widowControl w:val="0"/>
        <w:tabs>
          <w:tab w:val="left" w:pos="629"/>
        </w:tabs>
        <w:kinsoku/>
        <w:wordWrap/>
        <w:overflowPunct/>
        <w:topLinePunct w:val="0"/>
        <w:autoSpaceDE/>
        <w:autoSpaceDN/>
        <w:bidi w:val="0"/>
        <w:spacing w:line="600" w:lineRule="exact"/>
        <w:textAlignment w:val="auto"/>
        <w:rPr>
          <w:rFonts w:hint="default" w:ascii="Times New Roman" w:hAnsi="Times New Roman" w:eastAsia="华文仿宋" w:cs="Times New Roman"/>
          <w:color w:val="auto"/>
          <w:kern w:val="2"/>
          <w:sz w:val="32"/>
          <w:szCs w:val="32"/>
          <w:lang w:val="en-US" w:eastAsia="zh-CN" w:bidi="ar-SA"/>
        </w:rPr>
      </w:pPr>
      <w:r>
        <w:rPr>
          <w:rFonts w:hint="eastAsia" w:ascii="Times New Roman" w:hAnsi="Times New Roman" w:eastAsia="华文仿宋" w:cs="Times New Roman"/>
          <w:color w:val="auto"/>
          <w:kern w:val="2"/>
          <w:sz w:val="32"/>
          <w:szCs w:val="32"/>
          <w:lang w:val="en-US" w:eastAsia="zh-CN" w:bidi="ar-SA"/>
        </w:rPr>
        <w:t>5、</w:t>
      </w:r>
      <w:r>
        <w:rPr>
          <w:rFonts w:hint="default" w:ascii="Times New Roman" w:hAnsi="Times New Roman" w:eastAsia="华文仿宋" w:cs="Times New Roman"/>
          <w:color w:val="auto"/>
          <w:kern w:val="2"/>
          <w:sz w:val="32"/>
          <w:szCs w:val="32"/>
          <w:lang w:val="en-US" w:eastAsia="zh-CN" w:bidi="ar-SA"/>
        </w:rPr>
        <w:t>秦皇岛市山海关环城农工商实业总公司加油站</w:t>
      </w:r>
    </w:p>
    <w:p w14:paraId="68F43163">
      <w:pPr>
        <w:keepNext w:val="0"/>
        <w:keepLines w:val="0"/>
        <w:pageBreakBefore w:val="0"/>
        <w:widowControl w:val="0"/>
        <w:tabs>
          <w:tab w:val="left" w:pos="629"/>
        </w:tabs>
        <w:kinsoku/>
        <w:wordWrap/>
        <w:overflowPunct/>
        <w:topLinePunct w:val="0"/>
        <w:autoSpaceDE/>
        <w:autoSpaceDN/>
        <w:bidi w:val="0"/>
        <w:spacing w:line="600" w:lineRule="exact"/>
        <w:textAlignment w:val="auto"/>
        <w:rPr>
          <w:rFonts w:hint="default" w:ascii="Times New Roman" w:hAnsi="Times New Roman" w:eastAsia="华文仿宋" w:cs="Times New Roman"/>
          <w:color w:val="auto"/>
          <w:kern w:val="2"/>
          <w:sz w:val="32"/>
          <w:szCs w:val="32"/>
          <w:lang w:val="en-US" w:eastAsia="zh-CN" w:bidi="ar-SA"/>
        </w:rPr>
      </w:pPr>
      <w:r>
        <w:rPr>
          <w:rFonts w:hint="eastAsia" w:ascii="Times New Roman" w:hAnsi="Times New Roman" w:eastAsia="华文仿宋" w:cs="Times New Roman"/>
          <w:color w:val="auto"/>
          <w:kern w:val="2"/>
          <w:sz w:val="32"/>
          <w:szCs w:val="32"/>
          <w:lang w:val="en-US" w:eastAsia="zh-CN" w:bidi="ar-SA"/>
        </w:rPr>
        <w:t>6、</w:t>
      </w:r>
      <w:r>
        <w:rPr>
          <w:rFonts w:hint="default" w:ascii="Times New Roman" w:hAnsi="Times New Roman" w:eastAsia="华文仿宋" w:cs="Times New Roman"/>
          <w:color w:val="auto"/>
          <w:kern w:val="2"/>
          <w:sz w:val="32"/>
          <w:szCs w:val="32"/>
          <w:lang w:val="en-US" w:eastAsia="zh-CN" w:bidi="ar-SA"/>
        </w:rPr>
        <w:t>秦皇岛久元气体有限公司（有储罐）</w:t>
      </w:r>
    </w:p>
    <w:p w14:paraId="4807A93E">
      <w:pPr>
        <w:keepNext w:val="0"/>
        <w:keepLines w:val="0"/>
        <w:pageBreakBefore w:val="0"/>
        <w:widowControl w:val="0"/>
        <w:tabs>
          <w:tab w:val="left" w:pos="629"/>
        </w:tabs>
        <w:kinsoku/>
        <w:wordWrap/>
        <w:overflowPunct/>
        <w:topLinePunct w:val="0"/>
        <w:autoSpaceDE/>
        <w:autoSpaceDN/>
        <w:bidi w:val="0"/>
        <w:spacing w:line="600" w:lineRule="exact"/>
        <w:textAlignment w:val="auto"/>
        <w:rPr>
          <w:rFonts w:hint="eastAsia" w:ascii="Times New Roman" w:hAnsi="Times New Roman" w:eastAsia="华文仿宋" w:cs="Times New Roman"/>
          <w:color w:val="auto"/>
          <w:kern w:val="2"/>
          <w:sz w:val="32"/>
          <w:szCs w:val="32"/>
          <w:lang w:val="en-US" w:eastAsia="zh-CN" w:bidi="ar-SA"/>
        </w:rPr>
      </w:pPr>
      <w:r>
        <w:rPr>
          <w:rFonts w:hint="eastAsia" w:ascii="Times New Roman" w:hAnsi="Times New Roman" w:eastAsia="华文仿宋" w:cs="Times New Roman"/>
          <w:color w:val="auto"/>
          <w:kern w:val="2"/>
          <w:sz w:val="32"/>
          <w:szCs w:val="32"/>
          <w:lang w:val="en-US" w:eastAsia="zh-CN" w:bidi="ar-SA"/>
        </w:rPr>
        <w:t>7、</w:t>
      </w:r>
      <w:r>
        <w:rPr>
          <w:rFonts w:hint="default" w:ascii="Times New Roman" w:hAnsi="Times New Roman" w:eastAsia="华文仿宋" w:cs="Times New Roman"/>
          <w:color w:val="auto"/>
          <w:kern w:val="2"/>
          <w:sz w:val="32"/>
          <w:szCs w:val="32"/>
          <w:lang w:val="en-US" w:eastAsia="zh-CN" w:bidi="ar-SA"/>
        </w:rPr>
        <w:t>秦皇岛市山海关区宏峤加油站</w:t>
      </w:r>
    </w:p>
    <w:p w14:paraId="49141071">
      <w:pPr>
        <w:keepNext w:val="0"/>
        <w:keepLines w:val="0"/>
        <w:pageBreakBefore w:val="0"/>
        <w:widowControl w:val="0"/>
        <w:tabs>
          <w:tab w:val="left" w:pos="629"/>
        </w:tabs>
        <w:kinsoku/>
        <w:wordWrap/>
        <w:overflowPunct/>
        <w:topLinePunct w:val="0"/>
        <w:autoSpaceDE/>
        <w:autoSpaceDN/>
        <w:bidi w:val="0"/>
        <w:spacing w:line="600" w:lineRule="exact"/>
        <w:textAlignment w:val="auto"/>
        <w:rPr>
          <w:rFonts w:hint="default" w:ascii="Times New Roman" w:hAnsi="Times New Roman" w:eastAsia="华文仿宋" w:cs="Times New Roman"/>
          <w:color w:val="auto"/>
          <w:kern w:val="2"/>
          <w:sz w:val="32"/>
          <w:szCs w:val="32"/>
          <w:lang w:val="en-US" w:eastAsia="zh-CN" w:bidi="ar-SA"/>
        </w:rPr>
      </w:pPr>
      <w:r>
        <w:rPr>
          <w:rFonts w:hint="eastAsia" w:ascii="Times New Roman" w:hAnsi="Times New Roman" w:eastAsia="华文仿宋" w:cs="Times New Roman"/>
          <w:color w:val="auto"/>
          <w:kern w:val="2"/>
          <w:sz w:val="32"/>
          <w:szCs w:val="32"/>
          <w:lang w:val="en-US" w:eastAsia="zh-CN" w:bidi="ar-SA"/>
        </w:rPr>
        <w:t>8、</w:t>
      </w:r>
      <w:r>
        <w:rPr>
          <w:rFonts w:hint="default" w:ascii="Times New Roman" w:hAnsi="Times New Roman" w:eastAsia="华文仿宋" w:cs="Times New Roman"/>
          <w:color w:val="auto"/>
          <w:kern w:val="2"/>
          <w:sz w:val="32"/>
          <w:szCs w:val="32"/>
          <w:lang w:val="en-US" w:eastAsia="zh-CN" w:bidi="ar-SA"/>
        </w:rPr>
        <w:t>秦皇岛市山海关药业有限责任公司</w:t>
      </w:r>
    </w:p>
    <w:p w14:paraId="08C990CA">
      <w:pPr>
        <w:keepNext w:val="0"/>
        <w:keepLines w:val="0"/>
        <w:pageBreakBefore w:val="0"/>
        <w:widowControl w:val="0"/>
        <w:tabs>
          <w:tab w:val="left" w:pos="629"/>
        </w:tabs>
        <w:kinsoku/>
        <w:wordWrap/>
        <w:overflowPunct/>
        <w:topLinePunct w:val="0"/>
        <w:autoSpaceDE/>
        <w:autoSpaceDN/>
        <w:bidi w:val="0"/>
        <w:spacing w:line="600" w:lineRule="exact"/>
        <w:textAlignment w:val="auto"/>
        <w:rPr>
          <w:rFonts w:hint="default" w:ascii="Times New Roman" w:hAnsi="Times New Roman" w:eastAsia="华文仿宋" w:cs="Times New Roman"/>
          <w:color w:val="auto"/>
          <w:kern w:val="2"/>
          <w:sz w:val="32"/>
          <w:szCs w:val="32"/>
          <w:lang w:val="en-US" w:eastAsia="zh-CN" w:bidi="ar-SA"/>
        </w:rPr>
      </w:pPr>
      <w:r>
        <w:rPr>
          <w:rFonts w:hint="eastAsia" w:ascii="Times New Roman" w:hAnsi="Times New Roman" w:eastAsia="华文仿宋" w:cs="Times New Roman"/>
          <w:color w:val="auto"/>
          <w:kern w:val="2"/>
          <w:sz w:val="32"/>
          <w:szCs w:val="32"/>
          <w:lang w:val="en-US" w:eastAsia="zh-CN" w:bidi="ar-SA"/>
        </w:rPr>
        <w:t>9、</w:t>
      </w:r>
      <w:r>
        <w:rPr>
          <w:rFonts w:hint="default" w:ascii="Times New Roman" w:hAnsi="Times New Roman" w:eastAsia="华文仿宋" w:cs="Times New Roman"/>
          <w:color w:val="auto"/>
          <w:kern w:val="2"/>
          <w:sz w:val="32"/>
          <w:szCs w:val="32"/>
          <w:lang w:val="en-US" w:eastAsia="zh-CN" w:bidi="ar-SA"/>
        </w:rPr>
        <w:t>秦皇岛市山海关区长城路桥铁路器材有限公司</w:t>
      </w:r>
    </w:p>
    <w:p w14:paraId="20395266">
      <w:pPr>
        <w:keepNext w:val="0"/>
        <w:keepLines w:val="0"/>
        <w:pageBreakBefore w:val="0"/>
        <w:widowControl w:val="0"/>
        <w:tabs>
          <w:tab w:val="left" w:pos="629"/>
        </w:tabs>
        <w:kinsoku/>
        <w:wordWrap/>
        <w:overflowPunct/>
        <w:topLinePunct w:val="0"/>
        <w:autoSpaceDE/>
        <w:autoSpaceDN/>
        <w:bidi w:val="0"/>
        <w:spacing w:line="600" w:lineRule="exact"/>
        <w:textAlignment w:val="auto"/>
        <w:rPr>
          <w:rFonts w:hint="default" w:ascii="Times New Roman" w:hAnsi="Times New Roman" w:eastAsia="华文仿宋" w:cs="Times New Roman"/>
          <w:color w:val="auto"/>
          <w:kern w:val="2"/>
          <w:sz w:val="32"/>
          <w:szCs w:val="32"/>
          <w:lang w:val="en-US" w:eastAsia="zh-CN" w:bidi="ar-SA"/>
        </w:rPr>
      </w:pPr>
      <w:r>
        <w:rPr>
          <w:rFonts w:hint="eastAsia" w:ascii="Times New Roman" w:hAnsi="Times New Roman" w:eastAsia="华文仿宋" w:cs="Times New Roman"/>
          <w:color w:val="auto"/>
          <w:kern w:val="2"/>
          <w:sz w:val="32"/>
          <w:szCs w:val="32"/>
          <w:lang w:val="en-US" w:eastAsia="zh-CN" w:bidi="ar-SA"/>
        </w:rPr>
        <w:t>10、</w:t>
      </w:r>
      <w:r>
        <w:rPr>
          <w:rFonts w:hint="default" w:ascii="Times New Roman" w:hAnsi="Times New Roman" w:eastAsia="华文仿宋" w:cs="Times New Roman"/>
          <w:color w:val="auto"/>
          <w:kern w:val="2"/>
          <w:sz w:val="32"/>
          <w:szCs w:val="32"/>
          <w:lang w:val="en-US" w:eastAsia="zh-CN" w:bidi="ar-SA"/>
        </w:rPr>
        <w:t>秦皇岛中科铁路钢结构有限公司</w:t>
      </w:r>
    </w:p>
    <w:p w14:paraId="34385C6D">
      <w:pPr>
        <w:keepNext w:val="0"/>
        <w:keepLines w:val="0"/>
        <w:pageBreakBefore w:val="0"/>
        <w:widowControl w:val="0"/>
        <w:tabs>
          <w:tab w:val="left" w:pos="629"/>
        </w:tabs>
        <w:kinsoku/>
        <w:wordWrap/>
        <w:overflowPunct/>
        <w:topLinePunct w:val="0"/>
        <w:autoSpaceDE/>
        <w:autoSpaceDN/>
        <w:bidi w:val="0"/>
        <w:spacing w:line="600" w:lineRule="exact"/>
        <w:textAlignment w:val="auto"/>
        <w:rPr>
          <w:rFonts w:hint="default" w:ascii="Times New Roman" w:hAnsi="Times New Roman" w:eastAsia="华文仿宋" w:cs="Times New Roman"/>
          <w:color w:val="auto"/>
          <w:kern w:val="2"/>
          <w:sz w:val="32"/>
          <w:szCs w:val="32"/>
          <w:lang w:val="en-US" w:eastAsia="zh-CN" w:bidi="ar-SA"/>
        </w:rPr>
      </w:pPr>
      <w:r>
        <w:rPr>
          <w:rFonts w:hint="eastAsia" w:ascii="Times New Roman" w:hAnsi="Times New Roman" w:eastAsia="华文仿宋" w:cs="Times New Roman"/>
          <w:color w:val="auto"/>
          <w:kern w:val="2"/>
          <w:sz w:val="32"/>
          <w:szCs w:val="32"/>
          <w:lang w:val="en-US" w:eastAsia="zh-CN" w:bidi="ar-SA"/>
        </w:rPr>
        <w:t>11、</w:t>
      </w:r>
      <w:r>
        <w:rPr>
          <w:rFonts w:hint="default" w:ascii="Times New Roman" w:hAnsi="Times New Roman" w:eastAsia="华文仿宋" w:cs="Times New Roman"/>
          <w:color w:val="auto"/>
          <w:kern w:val="2"/>
          <w:sz w:val="32"/>
          <w:szCs w:val="32"/>
          <w:lang w:val="en-US" w:eastAsia="zh-CN" w:bidi="ar-SA"/>
        </w:rPr>
        <w:t>秦皇岛洪莱机械制造品有限公司</w:t>
      </w:r>
    </w:p>
    <w:p w14:paraId="41A595D4">
      <w:pPr>
        <w:keepNext w:val="0"/>
        <w:keepLines w:val="0"/>
        <w:pageBreakBefore w:val="0"/>
        <w:widowControl w:val="0"/>
        <w:tabs>
          <w:tab w:val="left" w:pos="629"/>
        </w:tabs>
        <w:kinsoku/>
        <w:wordWrap/>
        <w:overflowPunct/>
        <w:topLinePunct w:val="0"/>
        <w:autoSpaceDE/>
        <w:autoSpaceDN/>
        <w:bidi w:val="0"/>
        <w:spacing w:line="600" w:lineRule="exact"/>
        <w:textAlignment w:val="auto"/>
        <w:rPr>
          <w:rFonts w:hint="default" w:ascii="Times New Roman" w:hAnsi="Times New Roman" w:eastAsia="华文仿宋" w:cs="Times New Roman"/>
          <w:color w:val="auto"/>
          <w:kern w:val="2"/>
          <w:sz w:val="32"/>
          <w:szCs w:val="32"/>
          <w:lang w:val="en-US" w:eastAsia="zh-CN" w:bidi="ar-SA"/>
        </w:rPr>
      </w:pPr>
      <w:r>
        <w:rPr>
          <w:rFonts w:hint="eastAsia" w:ascii="Times New Roman" w:hAnsi="Times New Roman" w:eastAsia="华文仿宋" w:cs="Times New Roman"/>
          <w:color w:val="auto"/>
          <w:kern w:val="2"/>
          <w:sz w:val="32"/>
          <w:szCs w:val="32"/>
          <w:lang w:val="en-US" w:eastAsia="zh-CN" w:bidi="ar-SA"/>
        </w:rPr>
        <w:t>12、</w:t>
      </w:r>
      <w:r>
        <w:rPr>
          <w:rFonts w:hint="default" w:ascii="Times New Roman" w:hAnsi="Times New Roman" w:eastAsia="华文仿宋" w:cs="Times New Roman"/>
          <w:color w:val="auto"/>
          <w:kern w:val="2"/>
          <w:sz w:val="32"/>
          <w:szCs w:val="32"/>
          <w:lang w:val="en-US" w:eastAsia="zh-CN" w:bidi="ar-SA"/>
        </w:rPr>
        <w:t>秦皇岛优台鑫作台球用品有限公司</w:t>
      </w:r>
    </w:p>
    <w:p w14:paraId="2B292E16">
      <w:pPr>
        <w:keepNext w:val="0"/>
        <w:keepLines w:val="0"/>
        <w:pageBreakBefore w:val="0"/>
        <w:widowControl w:val="0"/>
        <w:tabs>
          <w:tab w:val="left" w:pos="629"/>
        </w:tabs>
        <w:kinsoku/>
        <w:wordWrap/>
        <w:overflowPunct/>
        <w:topLinePunct w:val="0"/>
        <w:autoSpaceDE/>
        <w:autoSpaceDN/>
        <w:bidi w:val="0"/>
        <w:spacing w:line="600" w:lineRule="exact"/>
        <w:textAlignment w:val="auto"/>
        <w:rPr>
          <w:rFonts w:hint="default" w:ascii="Times New Roman" w:hAnsi="Times New Roman" w:eastAsia="华文仿宋" w:cs="Times New Roman"/>
          <w:color w:val="auto"/>
          <w:kern w:val="2"/>
          <w:sz w:val="32"/>
          <w:szCs w:val="32"/>
          <w:lang w:val="en-US" w:eastAsia="zh-CN" w:bidi="ar-SA"/>
        </w:rPr>
      </w:pPr>
      <w:r>
        <w:rPr>
          <w:rFonts w:hint="eastAsia" w:ascii="Times New Roman" w:hAnsi="Times New Roman" w:eastAsia="华文仿宋" w:cs="Times New Roman"/>
          <w:color w:val="auto"/>
          <w:kern w:val="2"/>
          <w:sz w:val="32"/>
          <w:szCs w:val="32"/>
          <w:lang w:val="en-US" w:eastAsia="zh-CN" w:bidi="ar-SA"/>
        </w:rPr>
        <w:t>13、</w:t>
      </w:r>
      <w:r>
        <w:rPr>
          <w:rFonts w:hint="default" w:ascii="Times New Roman" w:hAnsi="Times New Roman" w:eastAsia="华文仿宋" w:cs="Times New Roman"/>
          <w:color w:val="auto"/>
          <w:kern w:val="2"/>
          <w:sz w:val="32"/>
          <w:szCs w:val="32"/>
          <w:lang w:val="en-US" w:eastAsia="zh-CN" w:bidi="ar-SA"/>
        </w:rPr>
        <w:t>河北阪口不锈钢制品有限公司</w:t>
      </w:r>
    </w:p>
    <w:p w14:paraId="0031F1D7">
      <w:pPr>
        <w:keepNext w:val="0"/>
        <w:keepLines w:val="0"/>
        <w:pageBreakBefore w:val="0"/>
        <w:widowControl w:val="0"/>
        <w:tabs>
          <w:tab w:val="left" w:pos="629"/>
        </w:tabs>
        <w:kinsoku/>
        <w:wordWrap/>
        <w:overflowPunct/>
        <w:topLinePunct w:val="0"/>
        <w:autoSpaceDE/>
        <w:autoSpaceDN/>
        <w:bidi w:val="0"/>
        <w:spacing w:line="600" w:lineRule="exact"/>
        <w:textAlignment w:val="auto"/>
        <w:rPr>
          <w:rFonts w:hint="default" w:ascii="Times New Roman" w:hAnsi="Times New Roman" w:eastAsia="华文仿宋" w:cs="Times New Roman"/>
          <w:color w:val="auto"/>
          <w:kern w:val="2"/>
          <w:sz w:val="32"/>
          <w:szCs w:val="32"/>
          <w:lang w:val="en-US" w:eastAsia="zh-CN" w:bidi="ar-SA"/>
        </w:rPr>
      </w:pPr>
      <w:r>
        <w:rPr>
          <w:rFonts w:hint="eastAsia" w:ascii="Times New Roman" w:hAnsi="Times New Roman" w:eastAsia="华文仿宋" w:cs="Times New Roman"/>
          <w:color w:val="auto"/>
          <w:kern w:val="2"/>
          <w:sz w:val="32"/>
          <w:szCs w:val="32"/>
          <w:lang w:val="en-US" w:eastAsia="zh-CN" w:bidi="ar-SA"/>
        </w:rPr>
        <w:t>14、</w:t>
      </w:r>
      <w:r>
        <w:rPr>
          <w:rFonts w:hint="default" w:ascii="Times New Roman" w:hAnsi="Times New Roman" w:eastAsia="华文仿宋" w:cs="Times New Roman"/>
          <w:color w:val="auto"/>
          <w:kern w:val="2"/>
          <w:sz w:val="32"/>
          <w:szCs w:val="32"/>
          <w:lang w:val="en-US" w:eastAsia="zh-CN" w:bidi="ar-SA"/>
        </w:rPr>
        <w:t>秦皇岛优格玛工业技术有限公司</w:t>
      </w:r>
    </w:p>
    <w:p w14:paraId="3739E734">
      <w:pPr>
        <w:keepNext w:val="0"/>
        <w:keepLines w:val="0"/>
        <w:pageBreakBefore w:val="0"/>
        <w:widowControl w:val="0"/>
        <w:tabs>
          <w:tab w:val="left" w:pos="629"/>
        </w:tabs>
        <w:kinsoku/>
        <w:wordWrap/>
        <w:overflowPunct/>
        <w:topLinePunct w:val="0"/>
        <w:autoSpaceDE/>
        <w:autoSpaceDN/>
        <w:bidi w:val="0"/>
        <w:spacing w:line="600" w:lineRule="exact"/>
        <w:textAlignment w:val="auto"/>
        <w:rPr>
          <w:rFonts w:hint="default" w:ascii="Times New Roman" w:hAnsi="Times New Roman" w:eastAsia="华文仿宋" w:cs="Times New Roman"/>
          <w:color w:val="auto"/>
          <w:kern w:val="2"/>
          <w:sz w:val="32"/>
          <w:szCs w:val="32"/>
          <w:lang w:val="en-US" w:eastAsia="zh-CN" w:bidi="ar-SA"/>
        </w:rPr>
      </w:pPr>
      <w:r>
        <w:rPr>
          <w:rFonts w:hint="eastAsia" w:ascii="Times New Roman" w:hAnsi="Times New Roman" w:eastAsia="华文仿宋" w:cs="Times New Roman"/>
          <w:color w:val="auto"/>
          <w:kern w:val="2"/>
          <w:sz w:val="32"/>
          <w:szCs w:val="32"/>
          <w:lang w:val="en-US" w:eastAsia="zh-CN" w:bidi="ar-SA"/>
        </w:rPr>
        <w:t>15、</w:t>
      </w:r>
      <w:r>
        <w:rPr>
          <w:rFonts w:hint="default" w:ascii="Times New Roman" w:hAnsi="Times New Roman" w:eastAsia="华文仿宋" w:cs="Times New Roman"/>
          <w:color w:val="auto"/>
          <w:kern w:val="2"/>
          <w:sz w:val="32"/>
          <w:szCs w:val="32"/>
          <w:lang w:val="en-US" w:eastAsia="zh-CN" w:bidi="ar-SA"/>
        </w:rPr>
        <w:t>秦皇岛市巨力机械制造有限公司</w:t>
      </w:r>
    </w:p>
    <w:p w14:paraId="65D6DFC5">
      <w:pPr>
        <w:keepNext w:val="0"/>
        <w:keepLines w:val="0"/>
        <w:pageBreakBefore w:val="0"/>
        <w:widowControl w:val="0"/>
        <w:tabs>
          <w:tab w:val="left" w:pos="629"/>
        </w:tabs>
        <w:kinsoku/>
        <w:wordWrap/>
        <w:overflowPunct/>
        <w:topLinePunct w:val="0"/>
        <w:autoSpaceDE/>
        <w:autoSpaceDN/>
        <w:bidi w:val="0"/>
        <w:spacing w:line="600" w:lineRule="exact"/>
        <w:textAlignment w:val="auto"/>
        <w:rPr>
          <w:rFonts w:hint="default" w:ascii="Times New Roman" w:hAnsi="Times New Roman" w:eastAsia="华文仿宋" w:cs="Times New Roman"/>
          <w:color w:val="auto"/>
          <w:kern w:val="2"/>
          <w:sz w:val="32"/>
          <w:szCs w:val="32"/>
          <w:lang w:val="en-US" w:eastAsia="zh-CN" w:bidi="ar-SA"/>
        </w:rPr>
      </w:pPr>
      <w:r>
        <w:rPr>
          <w:rFonts w:hint="eastAsia" w:ascii="Times New Roman" w:hAnsi="Times New Roman" w:eastAsia="华文仿宋" w:cs="Times New Roman"/>
          <w:color w:val="auto"/>
          <w:kern w:val="2"/>
          <w:sz w:val="32"/>
          <w:szCs w:val="32"/>
          <w:lang w:val="en-US" w:eastAsia="zh-CN" w:bidi="ar-SA"/>
        </w:rPr>
        <w:t>16、</w:t>
      </w:r>
      <w:r>
        <w:rPr>
          <w:rFonts w:hint="default" w:ascii="Times New Roman" w:hAnsi="Times New Roman" w:eastAsia="华文仿宋" w:cs="Times New Roman"/>
          <w:color w:val="auto"/>
          <w:kern w:val="2"/>
          <w:sz w:val="32"/>
          <w:szCs w:val="32"/>
          <w:lang w:val="en-US" w:eastAsia="zh-CN" w:bidi="ar-SA"/>
        </w:rPr>
        <w:t>秦皇岛市诚质耐火材料有限公司</w:t>
      </w:r>
    </w:p>
    <w:p w14:paraId="79E49D2D">
      <w:pPr>
        <w:keepNext w:val="0"/>
        <w:keepLines w:val="0"/>
        <w:pageBreakBefore w:val="0"/>
        <w:widowControl w:val="0"/>
        <w:tabs>
          <w:tab w:val="left" w:pos="629"/>
        </w:tabs>
        <w:kinsoku/>
        <w:wordWrap/>
        <w:overflowPunct/>
        <w:topLinePunct w:val="0"/>
        <w:autoSpaceDE/>
        <w:autoSpaceDN/>
        <w:bidi w:val="0"/>
        <w:spacing w:line="600" w:lineRule="exact"/>
        <w:textAlignment w:val="auto"/>
        <w:rPr>
          <w:rFonts w:hint="default" w:ascii="Times New Roman" w:hAnsi="Times New Roman" w:eastAsia="华文仿宋" w:cs="Times New Roman"/>
          <w:color w:val="auto"/>
          <w:kern w:val="2"/>
          <w:sz w:val="32"/>
          <w:szCs w:val="32"/>
          <w:lang w:val="en-US" w:eastAsia="zh-CN" w:bidi="ar-SA"/>
        </w:rPr>
      </w:pPr>
      <w:r>
        <w:rPr>
          <w:rFonts w:hint="eastAsia" w:ascii="Times New Roman" w:hAnsi="Times New Roman" w:eastAsia="华文仿宋" w:cs="Times New Roman"/>
          <w:color w:val="auto"/>
          <w:kern w:val="2"/>
          <w:sz w:val="32"/>
          <w:szCs w:val="32"/>
          <w:lang w:val="en-US" w:eastAsia="zh-CN" w:bidi="ar-SA"/>
        </w:rPr>
        <w:t>17、</w:t>
      </w:r>
      <w:r>
        <w:rPr>
          <w:rFonts w:hint="default" w:ascii="Times New Roman" w:hAnsi="Times New Roman" w:eastAsia="华文仿宋" w:cs="Times New Roman"/>
          <w:color w:val="auto"/>
          <w:kern w:val="2"/>
          <w:sz w:val="32"/>
          <w:szCs w:val="32"/>
          <w:lang w:val="en-US" w:eastAsia="zh-CN" w:bidi="ar-SA"/>
        </w:rPr>
        <w:t>秦皇岛雅豪新材料科技有限公司</w:t>
      </w:r>
    </w:p>
    <w:p w14:paraId="46EEFAA6">
      <w:pPr>
        <w:keepNext w:val="0"/>
        <w:keepLines w:val="0"/>
        <w:pageBreakBefore w:val="0"/>
        <w:widowControl w:val="0"/>
        <w:tabs>
          <w:tab w:val="left" w:pos="629"/>
        </w:tabs>
        <w:kinsoku/>
        <w:wordWrap/>
        <w:overflowPunct/>
        <w:topLinePunct w:val="0"/>
        <w:autoSpaceDE/>
        <w:autoSpaceDN/>
        <w:bidi w:val="0"/>
        <w:spacing w:line="600" w:lineRule="exact"/>
        <w:textAlignment w:val="auto"/>
        <w:rPr>
          <w:rFonts w:hint="default" w:ascii="Times New Roman" w:hAnsi="Times New Roman" w:eastAsia="华文仿宋" w:cs="Times New Roman"/>
          <w:color w:val="auto"/>
          <w:kern w:val="2"/>
          <w:sz w:val="32"/>
          <w:szCs w:val="32"/>
          <w:lang w:val="en-US" w:eastAsia="zh-CN" w:bidi="ar-SA"/>
        </w:rPr>
      </w:pPr>
      <w:r>
        <w:rPr>
          <w:rFonts w:hint="eastAsia" w:ascii="Times New Roman" w:hAnsi="Times New Roman" w:eastAsia="华文仿宋" w:cs="Times New Roman"/>
          <w:color w:val="auto"/>
          <w:kern w:val="2"/>
          <w:sz w:val="32"/>
          <w:szCs w:val="32"/>
          <w:lang w:val="en-US" w:eastAsia="zh-CN" w:bidi="ar-SA"/>
        </w:rPr>
        <w:t>18、</w:t>
      </w:r>
      <w:r>
        <w:rPr>
          <w:rFonts w:hint="default" w:ascii="Times New Roman" w:hAnsi="Times New Roman" w:eastAsia="华文仿宋" w:cs="Times New Roman"/>
          <w:color w:val="auto"/>
          <w:kern w:val="2"/>
          <w:sz w:val="32"/>
          <w:szCs w:val="32"/>
          <w:lang w:val="en-US" w:eastAsia="zh-CN" w:bidi="ar-SA"/>
        </w:rPr>
        <w:t>秦皇岛荣浩机械制造有限公司</w:t>
      </w:r>
    </w:p>
    <w:p w14:paraId="5907FCC8">
      <w:pPr>
        <w:keepNext w:val="0"/>
        <w:keepLines w:val="0"/>
        <w:pageBreakBefore w:val="0"/>
        <w:widowControl w:val="0"/>
        <w:tabs>
          <w:tab w:val="left" w:pos="629"/>
        </w:tabs>
        <w:kinsoku/>
        <w:wordWrap/>
        <w:overflowPunct/>
        <w:topLinePunct w:val="0"/>
        <w:autoSpaceDE/>
        <w:autoSpaceDN/>
        <w:bidi w:val="0"/>
        <w:spacing w:line="600" w:lineRule="exact"/>
        <w:textAlignment w:val="auto"/>
        <w:rPr>
          <w:rFonts w:hint="default" w:ascii="Times New Roman" w:hAnsi="Times New Roman" w:eastAsia="华文仿宋" w:cs="Times New Roman"/>
          <w:color w:val="auto"/>
          <w:kern w:val="2"/>
          <w:sz w:val="32"/>
          <w:szCs w:val="32"/>
          <w:lang w:val="en-US" w:eastAsia="zh-CN" w:bidi="ar-SA"/>
        </w:rPr>
      </w:pPr>
      <w:r>
        <w:rPr>
          <w:rFonts w:hint="eastAsia" w:ascii="Times New Roman" w:hAnsi="Times New Roman" w:eastAsia="华文仿宋" w:cs="Times New Roman"/>
          <w:color w:val="auto"/>
          <w:kern w:val="2"/>
          <w:sz w:val="32"/>
          <w:szCs w:val="32"/>
          <w:lang w:val="en-US" w:eastAsia="zh-CN" w:bidi="ar-SA"/>
        </w:rPr>
        <w:t>19、</w:t>
      </w:r>
      <w:r>
        <w:rPr>
          <w:rFonts w:hint="default" w:ascii="Times New Roman" w:hAnsi="Times New Roman" w:eastAsia="华文仿宋" w:cs="Times New Roman"/>
          <w:color w:val="auto"/>
          <w:kern w:val="2"/>
          <w:sz w:val="32"/>
          <w:szCs w:val="32"/>
          <w:lang w:val="en-US" w:eastAsia="zh-CN" w:bidi="ar-SA"/>
        </w:rPr>
        <w:t>秦皇岛龙邦机械设备有限公司</w:t>
      </w:r>
    </w:p>
    <w:p w14:paraId="066F7F65">
      <w:pPr>
        <w:keepNext w:val="0"/>
        <w:keepLines w:val="0"/>
        <w:pageBreakBefore w:val="0"/>
        <w:widowControl w:val="0"/>
        <w:tabs>
          <w:tab w:val="left" w:pos="629"/>
        </w:tabs>
        <w:kinsoku/>
        <w:wordWrap/>
        <w:overflowPunct/>
        <w:topLinePunct w:val="0"/>
        <w:autoSpaceDE/>
        <w:autoSpaceDN/>
        <w:bidi w:val="0"/>
        <w:spacing w:line="600" w:lineRule="exact"/>
        <w:textAlignment w:val="auto"/>
        <w:rPr>
          <w:rFonts w:hint="default" w:ascii="Times New Roman" w:hAnsi="Times New Roman" w:eastAsia="华文仿宋" w:cs="Times New Roman"/>
          <w:color w:val="auto"/>
          <w:kern w:val="2"/>
          <w:sz w:val="32"/>
          <w:szCs w:val="32"/>
          <w:lang w:val="en-US" w:eastAsia="zh-CN" w:bidi="ar-SA"/>
        </w:rPr>
      </w:pPr>
      <w:r>
        <w:rPr>
          <w:rFonts w:hint="eastAsia" w:ascii="Times New Roman" w:hAnsi="Times New Roman" w:eastAsia="华文仿宋" w:cs="Times New Roman"/>
          <w:color w:val="auto"/>
          <w:kern w:val="2"/>
          <w:sz w:val="32"/>
          <w:szCs w:val="32"/>
          <w:lang w:val="en-US" w:eastAsia="zh-CN" w:bidi="ar-SA"/>
        </w:rPr>
        <w:t>20、</w:t>
      </w:r>
      <w:r>
        <w:rPr>
          <w:rFonts w:hint="default" w:ascii="Times New Roman" w:hAnsi="Times New Roman" w:eastAsia="华文仿宋" w:cs="Times New Roman"/>
          <w:color w:val="auto"/>
          <w:kern w:val="2"/>
          <w:sz w:val="32"/>
          <w:szCs w:val="32"/>
          <w:lang w:val="en-US" w:eastAsia="zh-CN" w:bidi="ar-SA"/>
        </w:rPr>
        <w:t>秦皇岛沐风船舶配件有限公司</w:t>
      </w:r>
    </w:p>
    <w:p w14:paraId="664350A3">
      <w:pPr>
        <w:keepNext w:val="0"/>
        <w:keepLines w:val="0"/>
        <w:pageBreakBefore w:val="0"/>
        <w:widowControl w:val="0"/>
        <w:tabs>
          <w:tab w:val="left" w:pos="629"/>
        </w:tabs>
        <w:kinsoku/>
        <w:wordWrap/>
        <w:overflowPunct/>
        <w:topLinePunct w:val="0"/>
        <w:autoSpaceDE/>
        <w:autoSpaceDN/>
        <w:bidi w:val="0"/>
        <w:spacing w:line="600" w:lineRule="exact"/>
        <w:textAlignment w:val="auto"/>
        <w:rPr>
          <w:rFonts w:hint="default" w:ascii="Times New Roman" w:hAnsi="Times New Roman" w:eastAsia="华文仿宋" w:cs="Times New Roman"/>
          <w:color w:val="auto"/>
          <w:kern w:val="2"/>
          <w:sz w:val="32"/>
          <w:szCs w:val="32"/>
          <w:lang w:val="en-US" w:eastAsia="zh-CN" w:bidi="ar-SA"/>
        </w:rPr>
      </w:pPr>
      <w:r>
        <w:rPr>
          <w:rFonts w:hint="eastAsia" w:ascii="Times New Roman" w:hAnsi="Times New Roman" w:eastAsia="华文仿宋" w:cs="Times New Roman"/>
          <w:color w:val="auto"/>
          <w:kern w:val="2"/>
          <w:sz w:val="32"/>
          <w:szCs w:val="32"/>
          <w:lang w:val="en-US" w:eastAsia="zh-CN" w:bidi="ar-SA"/>
        </w:rPr>
        <w:t>21、</w:t>
      </w:r>
      <w:r>
        <w:rPr>
          <w:rFonts w:hint="default" w:ascii="Times New Roman" w:hAnsi="Times New Roman" w:eastAsia="华文仿宋" w:cs="Times New Roman"/>
          <w:color w:val="auto"/>
          <w:kern w:val="2"/>
          <w:sz w:val="32"/>
          <w:szCs w:val="32"/>
          <w:lang w:val="en-US" w:eastAsia="zh-CN" w:bidi="ar-SA"/>
        </w:rPr>
        <w:t>秦皇岛市聚鑫电器设备有限公司</w:t>
      </w:r>
    </w:p>
    <w:p w14:paraId="6F954B47">
      <w:pPr>
        <w:keepNext w:val="0"/>
        <w:keepLines w:val="0"/>
        <w:pageBreakBefore w:val="0"/>
        <w:widowControl w:val="0"/>
        <w:tabs>
          <w:tab w:val="left" w:pos="629"/>
        </w:tabs>
        <w:kinsoku/>
        <w:wordWrap/>
        <w:overflowPunct/>
        <w:topLinePunct w:val="0"/>
        <w:autoSpaceDE/>
        <w:autoSpaceDN/>
        <w:bidi w:val="0"/>
        <w:spacing w:line="600" w:lineRule="exact"/>
        <w:textAlignment w:val="auto"/>
        <w:rPr>
          <w:rFonts w:hint="default" w:ascii="Times New Roman" w:hAnsi="Times New Roman" w:eastAsia="华文仿宋" w:cs="Times New Roman"/>
          <w:color w:val="auto"/>
          <w:kern w:val="2"/>
          <w:sz w:val="32"/>
          <w:szCs w:val="32"/>
          <w:lang w:val="en-US" w:eastAsia="zh-CN" w:bidi="ar-SA"/>
        </w:rPr>
      </w:pPr>
      <w:r>
        <w:rPr>
          <w:rFonts w:hint="eastAsia" w:ascii="Times New Roman" w:hAnsi="Times New Roman" w:eastAsia="华文仿宋" w:cs="Times New Roman"/>
          <w:color w:val="auto"/>
          <w:kern w:val="2"/>
          <w:sz w:val="32"/>
          <w:szCs w:val="32"/>
          <w:lang w:val="en-US" w:eastAsia="zh-CN" w:bidi="ar-SA"/>
        </w:rPr>
        <w:t>22、</w:t>
      </w:r>
      <w:r>
        <w:rPr>
          <w:rFonts w:hint="default" w:ascii="Times New Roman" w:hAnsi="Times New Roman" w:eastAsia="华文仿宋" w:cs="Times New Roman"/>
          <w:color w:val="auto"/>
          <w:kern w:val="2"/>
          <w:sz w:val="32"/>
          <w:szCs w:val="32"/>
          <w:lang w:val="en-US" w:eastAsia="zh-CN" w:bidi="ar-SA"/>
        </w:rPr>
        <w:t>秦皇岛广晨机械设备有限公司</w:t>
      </w:r>
    </w:p>
    <w:p w14:paraId="20E17C6E">
      <w:pPr>
        <w:keepNext w:val="0"/>
        <w:keepLines w:val="0"/>
        <w:pageBreakBefore w:val="0"/>
        <w:widowControl w:val="0"/>
        <w:tabs>
          <w:tab w:val="left" w:pos="629"/>
        </w:tabs>
        <w:kinsoku/>
        <w:wordWrap/>
        <w:overflowPunct/>
        <w:topLinePunct w:val="0"/>
        <w:autoSpaceDE/>
        <w:autoSpaceDN/>
        <w:bidi w:val="0"/>
        <w:spacing w:line="600" w:lineRule="exact"/>
        <w:textAlignment w:val="auto"/>
        <w:rPr>
          <w:rFonts w:hint="default" w:ascii="Times New Roman" w:hAnsi="Times New Roman" w:eastAsia="华文仿宋" w:cs="Times New Roman"/>
          <w:color w:val="auto"/>
          <w:kern w:val="2"/>
          <w:sz w:val="32"/>
          <w:szCs w:val="32"/>
          <w:lang w:val="en-US" w:eastAsia="zh-CN" w:bidi="ar-SA"/>
        </w:rPr>
      </w:pPr>
      <w:r>
        <w:rPr>
          <w:rFonts w:hint="eastAsia" w:ascii="Times New Roman" w:hAnsi="Times New Roman" w:eastAsia="华文仿宋" w:cs="Times New Roman"/>
          <w:color w:val="auto"/>
          <w:kern w:val="2"/>
          <w:sz w:val="32"/>
          <w:szCs w:val="32"/>
          <w:lang w:val="en-US" w:eastAsia="zh-CN" w:bidi="ar-SA"/>
        </w:rPr>
        <w:t>23、</w:t>
      </w:r>
      <w:r>
        <w:rPr>
          <w:rFonts w:hint="default" w:ascii="Times New Roman" w:hAnsi="Times New Roman" w:eastAsia="华文仿宋" w:cs="Times New Roman"/>
          <w:color w:val="auto"/>
          <w:kern w:val="2"/>
          <w:sz w:val="32"/>
          <w:szCs w:val="32"/>
          <w:lang w:val="en-US" w:eastAsia="zh-CN" w:bidi="ar-SA"/>
        </w:rPr>
        <w:t>秦皇岛山海关鼎恒管桩有限公司</w:t>
      </w:r>
    </w:p>
    <w:p w14:paraId="239020BF">
      <w:pPr>
        <w:keepNext w:val="0"/>
        <w:keepLines w:val="0"/>
        <w:pageBreakBefore w:val="0"/>
        <w:widowControl w:val="0"/>
        <w:tabs>
          <w:tab w:val="left" w:pos="629"/>
        </w:tabs>
        <w:kinsoku/>
        <w:wordWrap/>
        <w:overflowPunct/>
        <w:topLinePunct w:val="0"/>
        <w:autoSpaceDE/>
        <w:autoSpaceDN/>
        <w:bidi w:val="0"/>
        <w:spacing w:line="600" w:lineRule="exact"/>
        <w:textAlignment w:val="auto"/>
        <w:rPr>
          <w:rFonts w:hint="default" w:ascii="Times New Roman" w:hAnsi="Times New Roman" w:eastAsia="华文仿宋" w:cs="Times New Roman"/>
          <w:color w:val="auto"/>
          <w:kern w:val="2"/>
          <w:sz w:val="32"/>
          <w:szCs w:val="32"/>
          <w:lang w:val="en-US" w:eastAsia="zh-CN" w:bidi="ar-SA"/>
        </w:rPr>
      </w:pPr>
      <w:r>
        <w:rPr>
          <w:rFonts w:hint="eastAsia" w:ascii="Times New Roman" w:hAnsi="Times New Roman" w:eastAsia="华文仿宋" w:cs="Times New Roman"/>
          <w:color w:val="auto"/>
          <w:kern w:val="2"/>
          <w:sz w:val="32"/>
          <w:szCs w:val="32"/>
          <w:lang w:val="en-US" w:eastAsia="zh-CN" w:bidi="ar-SA"/>
        </w:rPr>
        <w:t>24、</w:t>
      </w:r>
      <w:r>
        <w:rPr>
          <w:rFonts w:hint="default" w:ascii="Times New Roman" w:hAnsi="Times New Roman" w:eastAsia="华文仿宋" w:cs="Times New Roman"/>
          <w:color w:val="auto"/>
          <w:kern w:val="2"/>
          <w:sz w:val="32"/>
          <w:szCs w:val="32"/>
          <w:lang w:val="en-US" w:eastAsia="zh-CN" w:bidi="ar-SA"/>
        </w:rPr>
        <w:t>秦皇岛老虎重工有限公司</w:t>
      </w:r>
    </w:p>
    <w:p w14:paraId="3660CFFE">
      <w:pPr>
        <w:pStyle w:val="13"/>
        <w:rPr>
          <w:rFonts w:hint="default" w:ascii="Times New Roman" w:hAnsi="Times New Roman" w:eastAsia="华文仿宋" w:cs="Times New Roman"/>
          <w:color w:val="auto"/>
          <w:kern w:val="2"/>
          <w:sz w:val="32"/>
          <w:szCs w:val="32"/>
          <w:lang w:val="en-US" w:eastAsia="zh-CN" w:bidi="ar-SA"/>
        </w:rPr>
      </w:pPr>
    </w:p>
    <w:p w14:paraId="51B64C54">
      <w:pPr>
        <w:rPr>
          <w:rFonts w:hint="default" w:ascii="仿宋_GB2312" w:eastAsia="仿宋_GB2312"/>
          <w:sz w:val="32"/>
          <w:szCs w:val="32"/>
          <w:lang w:val="en-US" w:eastAsia="zh-CN"/>
        </w:rPr>
      </w:pPr>
    </w:p>
    <w:p w14:paraId="24911298">
      <w:pPr>
        <w:rPr>
          <w:rFonts w:hint="default" w:ascii="仿宋_GB2312" w:eastAsia="仿宋_GB2312"/>
          <w:sz w:val="32"/>
          <w:szCs w:val="32"/>
          <w:lang w:val="en-US" w:eastAsia="zh-CN"/>
        </w:rPr>
      </w:pPr>
    </w:p>
    <w:p w14:paraId="4FE11657">
      <w:pPr>
        <w:pStyle w:val="13"/>
        <w:keepNext w:val="0"/>
        <w:keepLines w:val="0"/>
        <w:pageBreakBefore w:val="0"/>
        <w:kinsoku/>
        <w:wordWrap/>
        <w:overflowPunct/>
        <w:topLinePunct w:val="0"/>
        <w:bidi w:val="0"/>
        <w:spacing w:line="560" w:lineRule="exact"/>
        <w:rPr>
          <w:rFonts w:hint="default" w:ascii="Times New Roman" w:hAnsi="Times New Roman" w:eastAsia="黑体" w:cs="Times New Roman"/>
          <w:color w:val="auto"/>
          <w:sz w:val="32"/>
          <w:szCs w:val="32"/>
        </w:rPr>
      </w:pPr>
    </w:p>
    <w:p w14:paraId="6279FEC3">
      <w:pPr>
        <w:keepNext w:val="0"/>
        <w:keepLines w:val="0"/>
        <w:pageBreakBefore w:val="0"/>
        <w:widowControl w:val="0"/>
        <w:kinsoku/>
        <w:wordWrap/>
        <w:overflowPunct/>
        <w:topLinePunct w:val="0"/>
        <w:autoSpaceDE/>
        <w:bidi w:val="0"/>
        <w:adjustRightInd w:val="0"/>
        <w:snapToGrid w:val="0"/>
        <w:spacing w:line="560" w:lineRule="exact"/>
        <w:ind w:left="0"/>
        <w:textAlignment w:val="auto"/>
        <w:rPr>
          <w:rFonts w:hint="default" w:ascii="Times New Roman" w:hAnsi="Times New Roman" w:eastAsia="小标宋" w:cs="Times New Roman"/>
          <w:bCs/>
          <w:color w:val="auto"/>
          <w:sz w:val="22"/>
          <w:szCs w:val="18"/>
        </w:rPr>
      </w:pPr>
      <w:r>
        <w:rPr>
          <w:rFonts w:hint="default" w:ascii="Times New Roman" w:hAnsi="Times New Roman" w:eastAsia="黑体" w:cs="Times New Roman"/>
          <w:color w:val="auto"/>
          <w:sz w:val="32"/>
          <w:szCs w:val="32"/>
        </w:rPr>
        <w:t>附件</w:t>
      </w:r>
      <w:r>
        <w:rPr>
          <w:rFonts w:hint="default" w:ascii="Times New Roman" w:hAnsi="Times New Roman" w:eastAsia="仿宋_GB2312" w:cs="Times New Roman"/>
          <w:color w:val="auto"/>
          <w:sz w:val="32"/>
          <w:szCs w:val="32"/>
        </w:rPr>
        <w:t>3</w:t>
      </w:r>
    </w:p>
    <w:p w14:paraId="219A4364">
      <w:pPr>
        <w:keepNext w:val="0"/>
        <w:keepLines w:val="0"/>
        <w:pageBreakBefore w:val="0"/>
        <w:widowControl w:val="0"/>
        <w:kinsoku/>
        <w:wordWrap/>
        <w:overflowPunct/>
        <w:topLinePunct w:val="0"/>
        <w:autoSpaceDE/>
        <w:bidi w:val="0"/>
        <w:adjustRightInd w:val="0"/>
        <w:snapToGrid w:val="0"/>
        <w:spacing w:line="560" w:lineRule="exact"/>
        <w:ind w:left="0"/>
        <w:jc w:val="center"/>
        <w:textAlignment w:val="auto"/>
        <w:rPr>
          <w:rFonts w:hint="default" w:ascii="Times New Roman" w:hAnsi="Times New Roman" w:eastAsia="小标宋" w:cs="Times New Roman"/>
          <w:bCs/>
          <w:color w:val="auto"/>
          <w:sz w:val="44"/>
          <w:szCs w:val="32"/>
        </w:rPr>
      </w:pPr>
      <w:r>
        <w:rPr>
          <w:rFonts w:hint="default" w:ascii="Times New Roman" w:hAnsi="Times New Roman" w:eastAsia="小标宋" w:cs="Times New Roman"/>
          <w:bCs/>
          <w:color w:val="auto"/>
          <w:sz w:val="44"/>
          <w:szCs w:val="32"/>
        </w:rPr>
        <w:t>重点行业领域监督检查内容</w:t>
      </w:r>
    </w:p>
    <w:p w14:paraId="487CED3E">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eastAsia="黑体"/>
          <w:color w:val="000000"/>
          <w:sz w:val="32"/>
          <w:szCs w:val="32"/>
        </w:rPr>
      </w:pPr>
    </w:p>
    <w:p w14:paraId="6758557B">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eastAsia="仿宋_GB2312"/>
          <w:color w:val="000000"/>
          <w:sz w:val="32"/>
          <w:szCs w:val="32"/>
        </w:rPr>
      </w:pPr>
      <w:r>
        <w:rPr>
          <w:rFonts w:eastAsia="黑体"/>
          <w:color w:val="000000"/>
          <w:sz w:val="32"/>
          <w:szCs w:val="32"/>
        </w:rPr>
        <w:t>一、</w:t>
      </w:r>
      <w:r>
        <w:rPr>
          <w:rFonts w:hint="eastAsia" w:eastAsia="黑体"/>
          <w:color w:val="000000"/>
          <w:sz w:val="32"/>
          <w:szCs w:val="32"/>
          <w:lang w:eastAsia="zh-CN"/>
        </w:rPr>
        <w:t>工商贸行业</w:t>
      </w:r>
      <w:r>
        <w:rPr>
          <w:rFonts w:eastAsia="黑体"/>
          <w:color w:val="000000"/>
          <w:sz w:val="32"/>
          <w:szCs w:val="32"/>
        </w:rPr>
        <w:t>重点检查内容</w:t>
      </w:r>
    </w:p>
    <w:p w14:paraId="12BF6C15">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eastAsia="楷体_GB2312"/>
          <w:b w:val="0"/>
          <w:bCs w:val="0"/>
          <w:color w:val="000000"/>
          <w:sz w:val="32"/>
          <w:szCs w:val="32"/>
        </w:rPr>
      </w:pPr>
      <w:r>
        <w:rPr>
          <w:rFonts w:eastAsia="楷体_GB2312"/>
          <w:b w:val="0"/>
          <w:bCs w:val="0"/>
          <w:color w:val="000000"/>
          <w:sz w:val="32"/>
          <w:szCs w:val="32"/>
        </w:rPr>
        <w:t>（一）</w:t>
      </w:r>
      <w:r>
        <w:rPr>
          <w:rFonts w:hint="eastAsia" w:eastAsia="楷体_GB2312"/>
          <w:b w:val="0"/>
          <w:bCs w:val="0"/>
          <w:color w:val="000000"/>
          <w:sz w:val="32"/>
          <w:szCs w:val="32"/>
        </w:rPr>
        <w:t>通用部分</w:t>
      </w:r>
    </w:p>
    <w:p w14:paraId="6CF20AC3">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eastAsia="仿宋_GB2312"/>
          <w:color w:val="000000"/>
          <w:sz w:val="32"/>
          <w:szCs w:val="32"/>
        </w:rPr>
        <w:t>1.</w:t>
      </w:r>
      <w:r>
        <w:rPr>
          <w:rFonts w:hint="eastAsia" w:ascii="仿宋_GB2312" w:hAnsi="仿宋_GB2312" w:eastAsia="仿宋_GB2312" w:cs="仿宋_GB2312"/>
          <w:sz w:val="32"/>
          <w:szCs w:val="32"/>
        </w:rPr>
        <w:t>未对承包单位、承租单位的安全生产工作统一协调、管理，或者未定期进行安全检查的。</w:t>
      </w:r>
    </w:p>
    <w:p w14:paraId="7F61ECF0">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eastAsia="仿宋_GB2312"/>
          <w:color w:val="000000"/>
          <w:sz w:val="32"/>
          <w:szCs w:val="32"/>
        </w:rPr>
        <w:t>2.</w:t>
      </w:r>
      <w:r>
        <w:rPr>
          <w:rFonts w:hint="eastAsia" w:ascii="仿宋_GB2312" w:hAnsi="仿宋_GB2312" w:eastAsia="仿宋_GB2312" w:cs="仿宋_GB2312"/>
          <w:sz w:val="32"/>
          <w:szCs w:val="32"/>
        </w:rPr>
        <w:t>特种作业人员未按照规定经专门的安全作业培训并取得相应资格，上岗作业的。</w:t>
      </w:r>
    </w:p>
    <w:p w14:paraId="6A9AE027">
      <w:pPr>
        <w:pStyle w:val="4"/>
        <w:keepNext w:val="0"/>
        <w:keepLines w:val="0"/>
        <w:pageBreakBefore w:val="0"/>
        <w:widowControl w:val="0"/>
        <w:kinsoku/>
        <w:wordWrap/>
        <w:overflowPunct/>
        <w:topLinePunct w:val="0"/>
        <w:autoSpaceDE/>
        <w:autoSpaceDN/>
        <w:bidi w:val="0"/>
        <w:adjustRightInd/>
        <w:snapToGrid/>
        <w:spacing w:line="560" w:lineRule="exact"/>
        <w:jc w:val="both"/>
        <w:rPr>
          <w:rFonts w:hint="eastAsia" w:ascii="仿宋_GB2312" w:hAnsi="仿宋_GB2312" w:eastAsia="仿宋_GB2312" w:cs="仿宋_GB2312"/>
          <w:b w:val="0"/>
          <w:bCs/>
          <w:sz w:val="32"/>
          <w:szCs w:val="32"/>
        </w:rPr>
      </w:pPr>
      <w:r>
        <w:rPr>
          <w:rFonts w:hint="eastAsia" w:hAnsi="仿宋_GB2312" w:cs="仿宋_GB2312"/>
          <w:szCs w:val="32"/>
        </w:rPr>
        <w:t xml:space="preserve">   </w:t>
      </w:r>
      <w:r>
        <w:rPr>
          <w:rFonts w:hint="eastAsia" w:ascii="仿宋_GB2312" w:hAnsi="仿宋_GB2312" w:eastAsia="仿宋_GB2312" w:cs="仿宋_GB2312"/>
          <w:b w:val="0"/>
          <w:bCs/>
          <w:sz w:val="32"/>
          <w:szCs w:val="32"/>
        </w:rPr>
        <w:t xml:space="preserve"> </w:t>
      </w:r>
      <w:r>
        <w:rPr>
          <w:rFonts w:hint="eastAsia" w:ascii="仿宋_GB2312" w:hAnsi="仿宋_GB2312" w:eastAsia="仿宋_GB2312" w:cs="仿宋_GB2312"/>
          <w:b w:val="0"/>
          <w:bCs/>
          <w:color w:val="000000"/>
          <w:sz w:val="32"/>
          <w:szCs w:val="32"/>
        </w:rPr>
        <w:t>3.</w:t>
      </w:r>
      <w:r>
        <w:rPr>
          <w:rFonts w:hint="eastAsia" w:ascii="仿宋_GB2312" w:hAnsi="仿宋_GB2312" w:eastAsia="仿宋_GB2312" w:cs="仿宋_GB2312"/>
          <w:b w:val="0"/>
          <w:bCs/>
          <w:sz w:val="32"/>
          <w:szCs w:val="32"/>
        </w:rPr>
        <w:t>金属冶炼企业主要负责人、安全生产管理人员未按照规定经考核合格的。</w:t>
      </w:r>
    </w:p>
    <w:p w14:paraId="4E132C0E">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eastAsia="仿宋_GB2312"/>
          <w:b w:val="0"/>
          <w:bCs w:val="0"/>
          <w:color w:val="000000"/>
          <w:sz w:val="32"/>
          <w:szCs w:val="32"/>
        </w:rPr>
      </w:pPr>
      <w:r>
        <w:rPr>
          <w:rFonts w:hint="eastAsia" w:eastAsia="楷体_GB2312"/>
          <w:b w:val="0"/>
          <w:bCs w:val="0"/>
          <w:color w:val="000000"/>
          <w:sz w:val="32"/>
          <w:szCs w:val="32"/>
        </w:rPr>
        <w:t>（二）冶金</w:t>
      </w:r>
      <w:r>
        <w:rPr>
          <w:rFonts w:eastAsia="楷体_GB2312"/>
          <w:b w:val="0"/>
          <w:bCs w:val="0"/>
          <w:color w:val="000000"/>
          <w:sz w:val="32"/>
          <w:szCs w:val="32"/>
        </w:rPr>
        <w:t>企业重点执法检查事项</w:t>
      </w:r>
    </w:p>
    <w:p w14:paraId="7C1EA857">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eastAsia="仿宋_GB2312"/>
          <w:color w:val="000000"/>
          <w:sz w:val="32"/>
          <w:szCs w:val="32"/>
        </w:rPr>
        <w:t>1.</w:t>
      </w:r>
      <w:r>
        <w:rPr>
          <w:rFonts w:hint="eastAsia" w:ascii="仿宋_GB2312" w:hAnsi="仿宋_GB2312" w:eastAsia="仿宋_GB2312" w:cs="仿宋_GB2312"/>
          <w:sz w:val="32"/>
          <w:szCs w:val="32"/>
        </w:rPr>
        <w:t>会议室、活动室、休息室、操作室、交接班室、更衣室（含澡堂）等6类人员聚集场所，以及钢铁水罐冷（热）修工位设置在铁水、钢水、液渣吊运跨的地坪区域内的。</w:t>
      </w:r>
    </w:p>
    <w:p w14:paraId="205B4D0B">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eastAsia="仿宋_GB2312"/>
          <w:color w:val="000000"/>
          <w:sz w:val="32"/>
          <w:szCs w:val="32"/>
        </w:rPr>
        <w:t>2.</w:t>
      </w:r>
      <w:r>
        <w:rPr>
          <w:rFonts w:hint="eastAsia" w:ascii="仿宋_GB2312" w:hAnsi="仿宋_GB2312" w:eastAsia="仿宋_GB2312" w:cs="仿宋_GB2312"/>
          <w:sz w:val="32"/>
          <w:szCs w:val="32"/>
        </w:rPr>
        <w:t>生产期间冶炼、精炼和铸造生产区域的事故坑、炉下渣坑，以及熔融金属泄漏和喷溅影响范围内的炉前平台、炉基区域、厂房内吊运和地面运输通道等6类区域存在积水的。</w:t>
      </w:r>
    </w:p>
    <w:p w14:paraId="15795448">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eastAsia="仿宋_GB2312"/>
          <w:color w:val="000000"/>
          <w:sz w:val="32"/>
          <w:szCs w:val="32"/>
        </w:rPr>
        <w:t>3.</w:t>
      </w:r>
      <w:r>
        <w:rPr>
          <w:rFonts w:hint="eastAsia" w:ascii="仿宋_GB2312" w:hAnsi="仿宋_GB2312" w:eastAsia="仿宋_GB2312" w:cs="仿宋_GB2312"/>
          <w:sz w:val="32"/>
          <w:szCs w:val="32"/>
        </w:rPr>
        <w:t>炼钢连铸流程未设置事故钢水罐、中间罐漏钢坑（槽）、中间罐溢流坑（槽）、漏钢回转溜槽，或者模铸流程未设置事故钢水罐（坑、槽）。</w:t>
      </w:r>
    </w:p>
    <w:p w14:paraId="0D943E54">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eastAsia="仿宋_GB2312"/>
          <w:color w:val="000000"/>
          <w:sz w:val="32"/>
          <w:szCs w:val="32"/>
        </w:rPr>
        <w:t>4.</w:t>
      </w:r>
      <w:r>
        <w:rPr>
          <w:rFonts w:hint="eastAsia" w:ascii="仿宋_GB2312" w:hAnsi="仿宋_GB2312" w:eastAsia="仿宋_GB2312" w:cs="仿宋_GB2312"/>
          <w:sz w:val="32"/>
          <w:szCs w:val="32"/>
        </w:rPr>
        <w:t>转炉、电弧炉、AOD炉、LF炉、RH炉、VOD炉等炼钢炉的水冷元件未设置出水温度、进出水流量差等监测报警装置，或者监测报警装置未与炉体倾动、氧（副）枪自动提升、电极自动断电和升起装置联锁。</w:t>
      </w:r>
    </w:p>
    <w:p w14:paraId="530C34B0">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eastAsia="仿宋_GB2312"/>
          <w:color w:val="000000"/>
          <w:sz w:val="32"/>
          <w:szCs w:val="32"/>
        </w:rPr>
        <w:t>5.</w:t>
      </w:r>
      <w:r>
        <w:rPr>
          <w:rFonts w:hint="eastAsia" w:ascii="仿宋_GB2312" w:hAnsi="仿宋_GB2312" w:eastAsia="仿宋_GB2312" w:cs="仿宋_GB2312"/>
          <w:sz w:val="32"/>
          <w:szCs w:val="32"/>
        </w:rPr>
        <w:t>高炉生产期间炉顶工作压力设定值超过设计文件规定的最高工作压力，或者炉顶工作压力监测装置未与炉顶放散阀联锁，或者炉顶放散阀的联锁放散压力设定值超过设备设计压力值。</w:t>
      </w:r>
    </w:p>
    <w:p w14:paraId="05E8F22A">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eastAsia="仿宋_GB2312"/>
          <w:color w:val="000000"/>
          <w:sz w:val="32"/>
          <w:szCs w:val="32"/>
        </w:rPr>
        <w:t>6.</w:t>
      </w:r>
      <w:r>
        <w:rPr>
          <w:rFonts w:hint="eastAsia" w:ascii="仿宋_GB2312" w:hAnsi="仿宋_GB2312" w:eastAsia="仿宋_GB2312" w:cs="仿宋_GB2312"/>
          <w:sz w:val="32"/>
          <w:szCs w:val="32"/>
        </w:rPr>
        <w:t>煤气生产、回收净化、加压混合、储存、使用设施附近的会议室、活动室、休息室、操作室、交接班室、更衣室等6类人员聚集场所，以及可能发生煤气泄漏、积聚的场所和部位未设置固定式一氧化碳浓度监测报警装置，或者监测数据未接入24小时有人值守场所的。</w:t>
      </w:r>
    </w:p>
    <w:p w14:paraId="261644B9">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eastAsia="仿宋_GB2312"/>
          <w:color w:val="000000"/>
          <w:sz w:val="32"/>
          <w:szCs w:val="32"/>
        </w:rPr>
        <w:t>7.</w:t>
      </w:r>
      <w:r>
        <w:rPr>
          <w:rFonts w:hint="eastAsia" w:ascii="仿宋_GB2312" w:hAnsi="仿宋_GB2312" w:eastAsia="仿宋_GB2312" w:cs="仿宋_GB2312"/>
          <w:sz w:val="32"/>
          <w:szCs w:val="32"/>
        </w:rPr>
        <w:t>加热炉、煤气柜、除尘器、加压机、烘烤器等设施，以及进入车间前的煤气管道未安装隔断装置的。</w:t>
      </w:r>
    </w:p>
    <w:p w14:paraId="02908003">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eastAsia="仿宋_GB2312"/>
          <w:color w:val="000000"/>
          <w:sz w:val="32"/>
          <w:szCs w:val="32"/>
        </w:rPr>
      </w:pPr>
      <w:r>
        <w:rPr>
          <w:rFonts w:hint="eastAsia" w:eastAsia="仿宋_GB2312"/>
          <w:color w:val="000000"/>
          <w:sz w:val="32"/>
          <w:szCs w:val="32"/>
        </w:rPr>
        <w:t>8.</w:t>
      </w:r>
      <w:r>
        <w:rPr>
          <w:rFonts w:hint="eastAsia" w:ascii="仿宋_GB2312" w:hAnsi="仿宋_GB2312" w:eastAsia="仿宋_GB2312" w:cs="仿宋_GB2312"/>
          <w:sz w:val="32"/>
          <w:szCs w:val="32"/>
        </w:rPr>
        <w:t>正压煤气输配管线水封式排水器的最高封堵煤气压力小于30kPa，或者同一煤气管道隔断装置的两侧共用一个排水器，或者不同煤气管道排水器上部的排水管连通，或者不同介质的煤气管道共用一个排水器的。</w:t>
      </w:r>
    </w:p>
    <w:p w14:paraId="13CAC3DB">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eastAsia="楷体_GB2312"/>
          <w:b w:val="0"/>
          <w:bCs w:val="0"/>
          <w:color w:val="000000"/>
          <w:sz w:val="32"/>
          <w:szCs w:val="32"/>
        </w:rPr>
      </w:pPr>
      <w:r>
        <w:rPr>
          <w:rFonts w:eastAsia="楷体_GB2312"/>
          <w:b w:val="0"/>
          <w:bCs w:val="0"/>
          <w:color w:val="000000"/>
          <w:sz w:val="32"/>
          <w:szCs w:val="32"/>
        </w:rPr>
        <w:t>（</w:t>
      </w:r>
      <w:r>
        <w:rPr>
          <w:rFonts w:hint="eastAsia" w:eastAsia="楷体_GB2312"/>
          <w:b w:val="0"/>
          <w:bCs w:val="0"/>
          <w:color w:val="000000"/>
          <w:sz w:val="32"/>
          <w:szCs w:val="32"/>
        </w:rPr>
        <w:t>三</w:t>
      </w:r>
      <w:r>
        <w:rPr>
          <w:rFonts w:eastAsia="楷体_GB2312"/>
          <w:b w:val="0"/>
          <w:bCs w:val="0"/>
          <w:color w:val="000000"/>
          <w:sz w:val="32"/>
          <w:szCs w:val="32"/>
        </w:rPr>
        <w:t>）</w:t>
      </w:r>
      <w:r>
        <w:rPr>
          <w:rFonts w:hint="eastAsia" w:eastAsia="楷体_GB2312"/>
          <w:b w:val="0"/>
          <w:bCs w:val="0"/>
          <w:color w:val="000000"/>
          <w:sz w:val="32"/>
          <w:szCs w:val="32"/>
        </w:rPr>
        <w:t>有色企业</w:t>
      </w:r>
      <w:r>
        <w:rPr>
          <w:rFonts w:eastAsia="楷体_GB2312"/>
          <w:b w:val="0"/>
          <w:bCs w:val="0"/>
          <w:color w:val="000000"/>
          <w:sz w:val="32"/>
          <w:szCs w:val="32"/>
        </w:rPr>
        <w:t>重点执法检查事项</w:t>
      </w:r>
    </w:p>
    <w:p w14:paraId="2DFFD803">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eastAsia="仿宋_GB2312"/>
          <w:color w:val="000000"/>
          <w:sz w:val="32"/>
          <w:szCs w:val="32"/>
        </w:rPr>
        <w:t>1.</w:t>
      </w:r>
      <w:r>
        <w:rPr>
          <w:rFonts w:hint="eastAsia" w:ascii="仿宋_GB2312" w:hAnsi="仿宋_GB2312" w:eastAsia="仿宋_GB2312" w:cs="仿宋_GB2312"/>
          <w:sz w:val="32"/>
          <w:szCs w:val="32"/>
        </w:rPr>
        <w:t>会议室、活动室、休息室、操作室、交接班室、更衣室（含澡堂）等6类人员聚集场所设置在熔融金属吊运跨的地坪区域内。</w:t>
      </w:r>
    </w:p>
    <w:p w14:paraId="2CA8F8E1">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eastAsia="仿宋_GB2312"/>
          <w:color w:val="000000"/>
          <w:sz w:val="32"/>
          <w:szCs w:val="32"/>
        </w:rPr>
        <w:t>2.</w:t>
      </w:r>
      <w:r>
        <w:rPr>
          <w:rFonts w:hint="eastAsia" w:ascii="仿宋_GB2312" w:hAnsi="仿宋_GB2312" w:eastAsia="仿宋_GB2312" w:cs="仿宋_GB2312"/>
          <w:sz w:val="32"/>
          <w:szCs w:val="32"/>
        </w:rPr>
        <w:t>生产期间冶炼、精炼、铸造生产区域的事故坑、炉下渣坑，以及熔融金属泄漏、喷溅影响范围内的炉前平台、炉基区域、厂房内吊运和地面运输通道等6类区域存在非生产性积水。</w:t>
      </w:r>
    </w:p>
    <w:p w14:paraId="0CB6F119">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eastAsia="仿宋_GB2312"/>
          <w:color w:val="000000"/>
          <w:sz w:val="32"/>
          <w:szCs w:val="32"/>
        </w:rPr>
        <w:t>3.</w:t>
      </w:r>
      <w:r>
        <w:rPr>
          <w:rFonts w:hint="eastAsia" w:ascii="仿宋_GB2312" w:hAnsi="仿宋_GB2312" w:eastAsia="仿宋_GB2312" w:cs="仿宋_GB2312"/>
          <w:sz w:val="32"/>
          <w:szCs w:val="32"/>
        </w:rPr>
        <w:t>熔融金属铸造环节未设置紧急排放和应急储存设施的（倾动式熔炼炉、倾动式保温炉、倾动式熔保一体炉、带保温炉的固定式熔炼炉除外）</w:t>
      </w:r>
    </w:p>
    <w:p w14:paraId="4D1FB3DA">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eastAsia="仿宋_GB2312"/>
          <w:color w:val="000000"/>
          <w:sz w:val="32"/>
          <w:szCs w:val="32"/>
        </w:rPr>
        <w:t>4.</w:t>
      </w:r>
      <w:r>
        <w:rPr>
          <w:rFonts w:hint="eastAsia" w:ascii="仿宋_GB2312" w:hAnsi="仿宋_GB2312" w:eastAsia="仿宋_GB2312" w:cs="仿宋_GB2312"/>
          <w:sz w:val="32"/>
          <w:szCs w:val="32"/>
        </w:rPr>
        <w:t>采用水冷冷却的冶炼炉窑、铸造机（铝加工深井铸造工艺的结晶器除外）、加热炉未设置应急水源。</w:t>
      </w:r>
    </w:p>
    <w:p w14:paraId="4B5657E8">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eastAsia="仿宋_GB2312"/>
          <w:color w:val="000000"/>
          <w:sz w:val="32"/>
          <w:szCs w:val="32"/>
        </w:rPr>
        <w:t>5.</w:t>
      </w:r>
      <w:r>
        <w:rPr>
          <w:rFonts w:hint="eastAsia" w:ascii="仿宋_GB2312" w:hAnsi="仿宋_GB2312" w:eastAsia="仿宋_GB2312" w:cs="仿宋_GB2312"/>
          <w:sz w:val="32"/>
          <w:szCs w:val="32"/>
        </w:rPr>
        <w:t>熔融金属冶炼炉窑的闭路循环水冷元件未设置出水温度、进出水流量差监测报警装置，或者开路水冷元件未设置进水流量、压力监测报警装置，或者未监测开路水冷元件出水温度。</w:t>
      </w:r>
    </w:p>
    <w:p w14:paraId="5A170366">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eastAsia="仿宋_GB2312"/>
          <w:color w:val="000000"/>
          <w:sz w:val="32"/>
          <w:szCs w:val="32"/>
        </w:rPr>
        <w:t>6.</w:t>
      </w:r>
      <w:r>
        <w:rPr>
          <w:rFonts w:hint="eastAsia" w:ascii="仿宋_GB2312" w:hAnsi="仿宋_GB2312" w:eastAsia="仿宋_GB2312" w:cs="仿宋_GB2312"/>
          <w:sz w:val="32"/>
          <w:szCs w:val="32"/>
        </w:rPr>
        <w:t>铝加工深井铸造工艺的结晶器冷却水系统未设置进水压力、进水流量监测报警装置，或者监测报警装置未与快速切断阀、紧急排放阀、流槽断开装置联锁，或者监测报警装置未与倾动式浇铸炉控制系统联锁。</w:t>
      </w:r>
    </w:p>
    <w:p w14:paraId="592F6F10">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eastAsia="仿宋_GB2312"/>
          <w:color w:val="000000"/>
          <w:sz w:val="32"/>
          <w:szCs w:val="32"/>
        </w:rPr>
        <w:t>7.</w:t>
      </w:r>
      <w:r>
        <w:rPr>
          <w:rFonts w:hint="eastAsia" w:ascii="仿宋_GB2312" w:hAnsi="仿宋_GB2312" w:eastAsia="仿宋_GB2312" w:cs="仿宋_GB2312"/>
          <w:sz w:val="32"/>
          <w:szCs w:val="32"/>
        </w:rPr>
        <w:t>铝加工深井铸造工艺的浇铸炉铝液出口流槽、流槽与模盘（分配流槽）入口连接处未设置液位监测报警装置，或者固定式浇铸炉的铝液出口未设置机械锁紧装置。</w:t>
      </w:r>
    </w:p>
    <w:p w14:paraId="598559A3">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eastAsia="仿宋_GB2312"/>
          <w:color w:val="000000"/>
          <w:sz w:val="32"/>
          <w:szCs w:val="32"/>
        </w:rPr>
        <w:t>8.</w:t>
      </w:r>
      <w:r>
        <w:rPr>
          <w:rFonts w:hint="eastAsia" w:ascii="仿宋_GB2312" w:hAnsi="仿宋_GB2312" w:eastAsia="仿宋_GB2312" w:cs="仿宋_GB2312"/>
          <w:sz w:val="32"/>
          <w:szCs w:val="32"/>
        </w:rPr>
        <w:t>铝加工深井铸造工艺的固定式浇铸炉的铝液流槽未设置紧急排放阀，或者流槽与模盘（分配流槽）入口连接处未设置快速切断阀（断开装置），或者流槽与模盘（分配流槽）入口连接处的液位监测报警装置未与快速切断阀（断开装置）、紧急排放阀联锁。</w:t>
      </w:r>
    </w:p>
    <w:p w14:paraId="26004DAD">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eastAsia="仿宋_GB2312"/>
          <w:color w:val="000000"/>
          <w:sz w:val="32"/>
          <w:szCs w:val="32"/>
        </w:rPr>
        <w:t>9.</w:t>
      </w:r>
      <w:r>
        <w:rPr>
          <w:rFonts w:hint="eastAsia" w:ascii="仿宋_GB2312" w:hAnsi="仿宋_GB2312" w:eastAsia="仿宋_GB2312" w:cs="仿宋_GB2312"/>
          <w:sz w:val="32"/>
          <w:szCs w:val="32"/>
        </w:rPr>
        <w:t>铝加工深井铸造工艺的倾动式浇铸炉流槽与模盘（分配流槽）入口连接处未设置快速切断阀（断开装置），或者流槽与模盘（分配流槽）入口连接处的液位监测报警装置未与浇铸炉倾动控制系统、快速切断阀（断开装置）联锁。</w:t>
      </w:r>
    </w:p>
    <w:p w14:paraId="098CCD82">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eastAsia="仿宋_GB2312"/>
          <w:color w:val="000000"/>
          <w:sz w:val="32"/>
          <w:szCs w:val="32"/>
        </w:rPr>
        <w:t>10.</w:t>
      </w:r>
      <w:r>
        <w:rPr>
          <w:rFonts w:hint="eastAsia" w:ascii="仿宋_GB2312" w:hAnsi="仿宋_GB2312" w:eastAsia="仿宋_GB2312" w:cs="仿宋_GB2312"/>
          <w:sz w:val="32"/>
          <w:szCs w:val="32"/>
        </w:rPr>
        <w:t>铝加工深井铸造机钢丝卷扬系统选用非钢芯钢丝绳，或者未落实钢丝绳定期检查、更换制度的。</w:t>
      </w:r>
    </w:p>
    <w:p w14:paraId="260CDBD2">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eastAsia="仿宋_GB2312"/>
          <w:color w:val="000000"/>
          <w:sz w:val="32"/>
          <w:szCs w:val="32"/>
        </w:rPr>
        <w:t>11.</w:t>
      </w:r>
      <w:r>
        <w:rPr>
          <w:rFonts w:hint="eastAsia" w:ascii="仿宋_GB2312" w:hAnsi="仿宋_GB2312" w:eastAsia="仿宋_GB2312" w:cs="仿宋_GB2312"/>
          <w:sz w:val="32"/>
          <w:szCs w:val="32"/>
        </w:rPr>
        <w:t>可能发生一氧化碳、砷化氢、氯气、硫化氢等4种有毒气体泄漏、积聚的场所和部位未设置固定式气体浓度监测报警装置，或者监测数据未接入24小时有人值守场所，或者未对可能有砷化氢气体的场所和部位采取同等效果的检测措施。</w:t>
      </w:r>
    </w:p>
    <w:p w14:paraId="2787C6BE">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eastAsia="仿宋_GB2312"/>
          <w:color w:val="000000"/>
          <w:sz w:val="32"/>
          <w:szCs w:val="32"/>
        </w:rPr>
        <w:t>12.</w:t>
      </w:r>
      <w:r>
        <w:rPr>
          <w:rFonts w:hint="eastAsia" w:ascii="仿宋_GB2312" w:hAnsi="仿宋_GB2312" w:eastAsia="仿宋_GB2312" w:cs="仿宋_GB2312"/>
          <w:sz w:val="32"/>
          <w:szCs w:val="32"/>
        </w:rPr>
        <w:t>使用煤气（天然气）并强制送风的燃烧装置的燃气总管未设置压力监测报警装置，或者监测报警装置未与紧急自动切断装置联锁。</w:t>
      </w:r>
    </w:p>
    <w:p w14:paraId="0B024905">
      <w:pPr>
        <w:pStyle w:val="4"/>
        <w:keepNext w:val="0"/>
        <w:keepLines w:val="0"/>
        <w:pageBreakBefore w:val="0"/>
        <w:widowControl w:val="0"/>
        <w:kinsoku/>
        <w:wordWrap/>
        <w:overflowPunct/>
        <w:topLinePunct w:val="0"/>
        <w:autoSpaceDE/>
        <w:autoSpaceDN/>
        <w:bidi w:val="0"/>
        <w:adjustRightInd/>
        <w:snapToGrid/>
        <w:spacing w:line="560" w:lineRule="exact"/>
        <w:ind w:firstLine="640"/>
        <w:jc w:val="both"/>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color w:val="000000"/>
          <w:sz w:val="32"/>
          <w:szCs w:val="32"/>
        </w:rPr>
        <w:t>13.</w:t>
      </w:r>
      <w:r>
        <w:rPr>
          <w:rFonts w:hint="eastAsia" w:ascii="仿宋_GB2312" w:hAnsi="仿宋_GB2312" w:eastAsia="仿宋_GB2312" w:cs="仿宋_GB2312"/>
          <w:b w:val="0"/>
          <w:bCs/>
          <w:sz w:val="32"/>
          <w:szCs w:val="32"/>
        </w:rPr>
        <w:t>正压煤气输配管线水封式排水器的最高封堵煤气压力小于30kPa，或者同一煤气管道隔断装置的两侧共用一个排水器，或者不同煤气管道排水器上部的排水管连通，或者不同介质的煤气管道共用一个排水器。</w:t>
      </w:r>
    </w:p>
    <w:p w14:paraId="4F64B99B">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b w:val="0"/>
          <w:bCs w:val="0"/>
          <w:sz w:val="32"/>
          <w:szCs w:val="32"/>
        </w:rPr>
      </w:pPr>
      <w:r>
        <w:rPr>
          <w:rFonts w:hint="eastAsia" w:eastAsia="楷体_GB2312"/>
          <w:b w:val="0"/>
          <w:bCs w:val="0"/>
          <w:color w:val="000000"/>
          <w:sz w:val="32"/>
          <w:szCs w:val="32"/>
        </w:rPr>
        <w:t>（四）建材企业</w:t>
      </w:r>
      <w:r>
        <w:rPr>
          <w:rFonts w:eastAsia="楷体_GB2312"/>
          <w:b w:val="0"/>
          <w:bCs w:val="0"/>
          <w:color w:val="000000"/>
          <w:sz w:val="32"/>
          <w:szCs w:val="32"/>
        </w:rPr>
        <w:t>重点执法检查事项</w:t>
      </w:r>
    </w:p>
    <w:p w14:paraId="37E1F27B">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eastAsia="仿宋_GB2312"/>
          <w:color w:val="000000"/>
          <w:sz w:val="32"/>
          <w:szCs w:val="32"/>
        </w:rPr>
        <w:t>1.</w:t>
      </w:r>
      <w:r>
        <w:rPr>
          <w:rFonts w:hint="eastAsia" w:ascii="仿宋_GB2312" w:hAnsi="仿宋_GB2312" w:eastAsia="仿宋_GB2312" w:cs="仿宋_GB2312"/>
          <w:sz w:val="32"/>
          <w:szCs w:val="32"/>
        </w:rPr>
        <w:t>煤磨袋式收尘器、煤粉仓未设置温度和固定式一氧化碳浓度监测报警装置，或者未设置气体灭火装置。</w:t>
      </w:r>
    </w:p>
    <w:p w14:paraId="7621D1CB">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eastAsia="仿宋_GB2312"/>
          <w:color w:val="000000"/>
          <w:sz w:val="32"/>
          <w:szCs w:val="32"/>
        </w:rPr>
        <w:t>2.</w:t>
      </w:r>
      <w:r>
        <w:rPr>
          <w:rFonts w:hint="eastAsia" w:ascii="仿宋_GB2312" w:hAnsi="仿宋_GB2312" w:eastAsia="仿宋_GB2312" w:cs="仿宋_GB2312"/>
          <w:sz w:val="32"/>
          <w:szCs w:val="32"/>
        </w:rPr>
        <w:t>筒型储库人工清库作业未落实清库方案中防止高处坠落、坍塌等安全措施。</w:t>
      </w:r>
    </w:p>
    <w:p w14:paraId="1D8F5064">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eastAsia="仿宋_GB2312"/>
          <w:color w:val="000000"/>
          <w:sz w:val="32"/>
          <w:szCs w:val="32"/>
        </w:rPr>
        <w:t>3.</w:t>
      </w:r>
      <w:r>
        <w:rPr>
          <w:rFonts w:hint="eastAsia" w:ascii="仿宋_GB2312" w:hAnsi="仿宋_GB2312" w:eastAsia="仿宋_GB2312" w:cs="仿宋_GB2312"/>
          <w:sz w:val="32"/>
          <w:szCs w:val="32"/>
        </w:rPr>
        <w:t>水泥企业电石渣原料筒型储库未设置固定式可燃气体浓度监测报警装置，或者监测报警装置未与事故通风装置联锁。</w:t>
      </w:r>
    </w:p>
    <w:p w14:paraId="3FF66855">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eastAsia="仿宋_GB2312"/>
          <w:color w:val="000000"/>
          <w:sz w:val="32"/>
          <w:szCs w:val="32"/>
        </w:rPr>
        <w:t>4.</w:t>
      </w:r>
      <w:r>
        <w:rPr>
          <w:rFonts w:hint="eastAsia" w:ascii="仿宋_GB2312" w:hAnsi="仿宋_GB2312" w:eastAsia="仿宋_GB2312" w:cs="仿宋_GB2312"/>
          <w:sz w:val="32"/>
          <w:szCs w:val="32"/>
        </w:rPr>
        <w:t>进入筒型储库、焙烧窑、预热器旋风筒、分解炉、竖炉、篦冷机、磨机、破碎机前，未对可能意外启动的设备和涌入的物料、高温气体、有毒有害气体等采取隔离措施，或者未落实防止高处坠落、坍塌等安全措施。</w:t>
      </w:r>
    </w:p>
    <w:p w14:paraId="69F41C5A">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eastAsia="仿宋_GB2312"/>
          <w:color w:val="000000"/>
          <w:sz w:val="32"/>
          <w:szCs w:val="32"/>
        </w:rPr>
        <w:t>5.</w:t>
      </w:r>
      <w:r>
        <w:rPr>
          <w:rFonts w:hint="eastAsia" w:ascii="仿宋_GB2312" w:hAnsi="仿宋_GB2312" w:eastAsia="仿宋_GB2312" w:cs="仿宋_GB2312"/>
          <w:sz w:val="32"/>
          <w:szCs w:val="32"/>
        </w:rPr>
        <w:t>采用预混燃烧方式的燃气窑炉（热发生炉煤气窑炉除外）的燃气总管未设置管道压力监测报警装置，或者监测报警装置未与紧急自动切断装置联锁。</w:t>
      </w:r>
    </w:p>
    <w:p w14:paraId="4BB20171">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eastAsia="仿宋_GB2312"/>
          <w:color w:val="000000"/>
          <w:sz w:val="32"/>
          <w:szCs w:val="32"/>
        </w:rPr>
        <w:t>6.</w:t>
      </w:r>
      <w:r>
        <w:rPr>
          <w:rFonts w:hint="eastAsia" w:ascii="仿宋_GB2312" w:hAnsi="仿宋_GB2312" w:eastAsia="仿宋_GB2312" w:cs="仿宋_GB2312"/>
          <w:sz w:val="32"/>
          <w:szCs w:val="32"/>
        </w:rPr>
        <w:t>制氢站、氮氢保护气体配气间、燃气配气间等3类场所未设置固定式可燃气体浓度监测报警装置。</w:t>
      </w:r>
    </w:p>
    <w:p w14:paraId="545FE3FA">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eastAsia="仿宋_GB2312"/>
          <w:color w:val="000000"/>
          <w:sz w:val="32"/>
          <w:szCs w:val="32"/>
        </w:rPr>
        <w:t>7.</w:t>
      </w:r>
      <w:r>
        <w:rPr>
          <w:rFonts w:hint="eastAsia" w:ascii="仿宋_GB2312" w:hAnsi="仿宋_GB2312" w:eastAsia="仿宋_GB2312" w:cs="仿宋_GB2312"/>
          <w:sz w:val="32"/>
          <w:szCs w:val="32"/>
        </w:rPr>
        <w:t>电熔制品电炉的水冷设备失效。</w:t>
      </w:r>
    </w:p>
    <w:p w14:paraId="69E74AB9">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eastAsia="仿宋_GB2312"/>
          <w:color w:val="000000"/>
          <w:sz w:val="32"/>
          <w:szCs w:val="32"/>
        </w:rPr>
        <w:t>8.</w:t>
      </w:r>
      <w:r>
        <w:rPr>
          <w:rFonts w:hint="eastAsia" w:ascii="仿宋_GB2312" w:hAnsi="仿宋_GB2312" w:eastAsia="仿宋_GB2312" w:cs="仿宋_GB2312"/>
          <w:sz w:val="32"/>
          <w:szCs w:val="32"/>
        </w:rPr>
        <w:t>玻璃窑炉、玻璃锡槽等设备未设置水冷和风冷保护系统的监测报警装置。</w:t>
      </w:r>
    </w:p>
    <w:p w14:paraId="3D38EF93">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b w:val="0"/>
          <w:bCs w:val="0"/>
          <w:sz w:val="32"/>
          <w:szCs w:val="32"/>
        </w:rPr>
      </w:pPr>
      <w:r>
        <w:rPr>
          <w:rFonts w:hint="eastAsia" w:eastAsia="楷体_GB2312"/>
          <w:b w:val="0"/>
          <w:bCs w:val="0"/>
          <w:color w:val="000000"/>
          <w:sz w:val="32"/>
          <w:szCs w:val="32"/>
        </w:rPr>
        <w:t>（五）机械企业</w:t>
      </w:r>
      <w:r>
        <w:rPr>
          <w:rFonts w:eastAsia="楷体_GB2312"/>
          <w:b w:val="0"/>
          <w:bCs w:val="0"/>
          <w:color w:val="000000"/>
          <w:sz w:val="32"/>
          <w:szCs w:val="32"/>
        </w:rPr>
        <w:t>重点执法检查事项</w:t>
      </w:r>
    </w:p>
    <w:p w14:paraId="50C892FB">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eastAsia="仿宋_GB2312"/>
          <w:color w:val="000000"/>
          <w:sz w:val="32"/>
          <w:szCs w:val="32"/>
        </w:rPr>
        <w:t>1.</w:t>
      </w:r>
      <w:r>
        <w:rPr>
          <w:rFonts w:hint="eastAsia" w:ascii="仿宋_GB2312" w:hAnsi="仿宋_GB2312" w:eastAsia="仿宋_GB2312" w:cs="仿宋_GB2312"/>
          <w:sz w:val="32"/>
          <w:szCs w:val="32"/>
        </w:rPr>
        <w:t>会议室、活动室、休息室、更衣室、交接班室等5类人员聚集场所设置在熔融金属吊运跨或者浇注跨的地坪区域内。</w:t>
      </w:r>
    </w:p>
    <w:p w14:paraId="78BF9652">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eastAsia="仿宋_GB2312"/>
          <w:color w:val="000000"/>
          <w:sz w:val="32"/>
          <w:szCs w:val="32"/>
        </w:rPr>
        <w:t>2.</w:t>
      </w:r>
      <w:r>
        <w:rPr>
          <w:rFonts w:hint="eastAsia" w:ascii="仿宋_GB2312" w:hAnsi="仿宋_GB2312" w:eastAsia="仿宋_GB2312" w:cs="仿宋_GB2312"/>
          <w:sz w:val="32"/>
          <w:szCs w:val="32"/>
        </w:rPr>
        <w:t>铸造用熔炼炉、精炼炉、保温炉未设置紧急排放和应急储存设施。</w:t>
      </w:r>
    </w:p>
    <w:p w14:paraId="45BF5A29">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eastAsia="仿宋_GB2312"/>
          <w:color w:val="000000"/>
          <w:sz w:val="32"/>
          <w:szCs w:val="32"/>
        </w:rPr>
        <w:t>3.</w:t>
      </w:r>
      <w:r>
        <w:rPr>
          <w:rFonts w:hint="eastAsia" w:ascii="仿宋_GB2312" w:hAnsi="仿宋_GB2312" w:eastAsia="仿宋_GB2312" w:cs="仿宋_GB2312"/>
          <w:sz w:val="32"/>
          <w:szCs w:val="32"/>
        </w:rPr>
        <w:t>生产期间铸造用熔炼炉、精炼炉、保温炉的炉底、炉坑和事故坑，以及熔融金属泄漏、喷溅影响范围内的炉前平台、炉基区域、造型地坑、浇注作业坑和熔融金属转运通道等8类区域存在积水。</w:t>
      </w:r>
    </w:p>
    <w:p w14:paraId="564041D2">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eastAsia="仿宋_GB2312"/>
          <w:color w:val="000000"/>
          <w:sz w:val="32"/>
          <w:szCs w:val="32"/>
        </w:rPr>
        <w:t>4.</w:t>
      </w:r>
      <w:r>
        <w:rPr>
          <w:rFonts w:hint="eastAsia" w:ascii="仿宋_GB2312" w:hAnsi="仿宋_GB2312" w:eastAsia="仿宋_GB2312" w:cs="仿宋_GB2312"/>
          <w:sz w:val="32"/>
          <w:szCs w:val="32"/>
        </w:rPr>
        <w:t>铸造用熔炼炉、精炼炉、压铸机、氧枪的冷却水系统未设置出水温度、进出水流量差监测报警装置，或者监测报警装置未与熔融金属加热、输送控制系统联锁。</w:t>
      </w:r>
    </w:p>
    <w:p w14:paraId="71F2D821">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eastAsia="仿宋_GB2312"/>
          <w:color w:val="000000"/>
          <w:sz w:val="32"/>
          <w:szCs w:val="32"/>
        </w:rPr>
        <w:t>5.</w:t>
      </w:r>
      <w:r>
        <w:rPr>
          <w:rFonts w:hint="eastAsia" w:ascii="仿宋_GB2312" w:hAnsi="仿宋_GB2312" w:eastAsia="仿宋_GB2312" w:cs="仿宋_GB2312"/>
          <w:sz w:val="32"/>
          <w:szCs w:val="32"/>
        </w:rPr>
        <w:t>使用煤气（天然气）的燃烧装置的燃气总管未设置管道压力监测报警装置，或者监测报警装置未与紧急自动切断装置联锁，或者燃烧装置未设置火焰监测和熄火保护系统。</w:t>
      </w:r>
    </w:p>
    <w:p w14:paraId="5C9EDE1D">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eastAsia="仿宋_GB2312"/>
          <w:color w:val="000000"/>
          <w:sz w:val="32"/>
          <w:szCs w:val="32"/>
        </w:rPr>
        <w:t>6.</w:t>
      </w:r>
      <w:r>
        <w:rPr>
          <w:rFonts w:hint="eastAsia" w:ascii="仿宋_GB2312" w:hAnsi="仿宋_GB2312" w:eastAsia="仿宋_GB2312" w:cs="仿宋_GB2312"/>
          <w:sz w:val="32"/>
          <w:szCs w:val="32"/>
        </w:rPr>
        <w:t>使用可燃性有机溶剂清洗设备设施、工装器具、地面时，未采取防止可燃气体在周边密闭或者半密闭空间内积聚措施。</w:t>
      </w:r>
    </w:p>
    <w:p w14:paraId="46A50FEC">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eastAsia="仿宋_GB2312"/>
          <w:color w:val="000000"/>
          <w:sz w:val="32"/>
          <w:szCs w:val="32"/>
        </w:rPr>
        <w:t>7.</w:t>
      </w:r>
      <w:r>
        <w:rPr>
          <w:rFonts w:hint="eastAsia" w:ascii="仿宋_GB2312" w:hAnsi="仿宋_GB2312" w:eastAsia="仿宋_GB2312" w:cs="仿宋_GB2312"/>
          <w:sz w:val="32"/>
          <w:szCs w:val="32"/>
        </w:rPr>
        <w:t>使用非水性漆的调漆间、喷漆室未设置固定式可燃气体浓度监测报警装置或者通风设施。</w:t>
      </w:r>
    </w:p>
    <w:p w14:paraId="0AE3F661">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b w:val="0"/>
          <w:bCs w:val="0"/>
          <w:sz w:val="32"/>
          <w:szCs w:val="32"/>
        </w:rPr>
      </w:pPr>
      <w:r>
        <w:rPr>
          <w:rFonts w:hint="eastAsia" w:eastAsia="楷体_GB2312"/>
          <w:b w:val="0"/>
          <w:bCs w:val="0"/>
          <w:color w:val="000000"/>
          <w:sz w:val="32"/>
          <w:szCs w:val="32"/>
        </w:rPr>
        <w:t>（六）轻工企业</w:t>
      </w:r>
      <w:r>
        <w:rPr>
          <w:rFonts w:eastAsia="楷体_GB2312"/>
          <w:b w:val="0"/>
          <w:bCs w:val="0"/>
          <w:color w:val="000000"/>
          <w:sz w:val="32"/>
          <w:szCs w:val="32"/>
        </w:rPr>
        <w:t>重点执法检查事项</w:t>
      </w:r>
    </w:p>
    <w:p w14:paraId="3099E833">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eastAsia="仿宋_GB2312"/>
          <w:color w:val="000000"/>
          <w:sz w:val="32"/>
          <w:szCs w:val="32"/>
        </w:rPr>
        <w:t>1.</w:t>
      </w:r>
      <w:r>
        <w:rPr>
          <w:rFonts w:hint="eastAsia" w:ascii="仿宋_GB2312" w:hAnsi="仿宋_GB2312" w:eastAsia="仿宋_GB2312" w:cs="仿宋_GB2312"/>
          <w:sz w:val="32"/>
          <w:szCs w:val="32"/>
        </w:rPr>
        <w:t>食品制造企业烘制、油炸设备未设置防过热自动切断装置。</w:t>
      </w:r>
    </w:p>
    <w:p w14:paraId="7F7F3703">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eastAsia="仿宋_GB2312"/>
          <w:color w:val="000000"/>
          <w:sz w:val="32"/>
          <w:szCs w:val="32"/>
        </w:rPr>
        <w:t>2.</w:t>
      </w:r>
      <w:r>
        <w:rPr>
          <w:rFonts w:hint="eastAsia" w:ascii="仿宋_GB2312" w:hAnsi="仿宋_GB2312" w:eastAsia="仿宋_GB2312" w:cs="仿宋_GB2312"/>
          <w:sz w:val="32"/>
          <w:szCs w:val="32"/>
        </w:rPr>
        <w:t>白酒勾兑、灌装场所和酒库未设置固定式乙醇蒸气浓度监测报警装置，或者监测报警装置未与通风设施联锁。</w:t>
      </w:r>
    </w:p>
    <w:p w14:paraId="769A7CE3">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eastAsia="仿宋_GB2312"/>
          <w:color w:val="000000"/>
          <w:sz w:val="32"/>
          <w:szCs w:val="32"/>
        </w:rPr>
        <w:t>3.</w:t>
      </w:r>
      <w:r>
        <w:rPr>
          <w:rFonts w:hint="eastAsia" w:ascii="仿宋_GB2312" w:hAnsi="仿宋_GB2312" w:eastAsia="仿宋_GB2312" w:cs="仿宋_GB2312"/>
          <w:sz w:val="32"/>
          <w:szCs w:val="32"/>
        </w:rPr>
        <w:t>纸浆制造、造纸企业使用蒸气、明火直接加热钢瓶汽化液氯。</w:t>
      </w:r>
    </w:p>
    <w:p w14:paraId="0EE8B622">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eastAsia="仿宋_GB2312"/>
          <w:color w:val="000000"/>
          <w:sz w:val="32"/>
          <w:szCs w:val="32"/>
        </w:rPr>
        <w:t>4.</w:t>
      </w:r>
      <w:r>
        <w:rPr>
          <w:rFonts w:hint="eastAsia" w:ascii="仿宋_GB2312" w:hAnsi="仿宋_GB2312" w:eastAsia="仿宋_GB2312" w:cs="仿宋_GB2312"/>
          <w:sz w:val="32"/>
          <w:szCs w:val="32"/>
        </w:rPr>
        <w:t>日用玻璃、陶瓷制造企业采用预混燃烧方式的燃气窑炉（热发生炉煤气窑炉除外）的燃气总管未设置管道压力监测报警装置，或者监测报警装置未与紧急自动切断装置联锁。</w:t>
      </w:r>
    </w:p>
    <w:p w14:paraId="41A834A1">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eastAsia="仿宋_GB2312"/>
          <w:color w:val="000000"/>
          <w:sz w:val="32"/>
          <w:szCs w:val="32"/>
        </w:rPr>
        <w:t>5.</w:t>
      </w:r>
      <w:r>
        <w:rPr>
          <w:rFonts w:hint="eastAsia" w:ascii="仿宋_GB2312" w:hAnsi="仿宋_GB2312" w:eastAsia="仿宋_GB2312" w:cs="仿宋_GB2312"/>
          <w:sz w:val="32"/>
          <w:szCs w:val="32"/>
        </w:rPr>
        <w:t>日用玻璃制造企业玻璃窑炉的冷却保护系统未设置监测报警装置。</w:t>
      </w:r>
    </w:p>
    <w:p w14:paraId="7057C251">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eastAsia="仿宋_GB2312"/>
          <w:color w:val="000000"/>
          <w:sz w:val="32"/>
          <w:szCs w:val="32"/>
        </w:rPr>
        <w:t>6.</w:t>
      </w:r>
      <w:r>
        <w:rPr>
          <w:rFonts w:hint="eastAsia" w:ascii="仿宋_GB2312" w:hAnsi="仿宋_GB2312" w:eastAsia="仿宋_GB2312" w:cs="仿宋_GB2312"/>
          <w:sz w:val="32"/>
          <w:szCs w:val="32"/>
        </w:rPr>
        <w:t>使用非水性漆的调漆间、喷漆室未设置固定式可燃气体浓度监测报警装置或者通风设施。</w:t>
      </w:r>
    </w:p>
    <w:p w14:paraId="121C26D0">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eastAsia="仿宋_GB2312"/>
          <w:color w:val="000000"/>
          <w:sz w:val="32"/>
          <w:szCs w:val="32"/>
        </w:rPr>
        <w:t>7.</w:t>
      </w:r>
      <w:r>
        <w:rPr>
          <w:rFonts w:hint="eastAsia" w:ascii="仿宋_GB2312" w:hAnsi="仿宋_GB2312" w:eastAsia="仿宋_GB2312" w:cs="仿宋_GB2312"/>
          <w:sz w:val="32"/>
          <w:szCs w:val="32"/>
        </w:rPr>
        <w:t>锂离子电池储存仓库未对故障电池采取有效物理隔离措施。</w:t>
      </w:r>
    </w:p>
    <w:p w14:paraId="6C9A071F">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b w:val="0"/>
          <w:bCs w:val="0"/>
          <w:sz w:val="32"/>
          <w:szCs w:val="32"/>
        </w:rPr>
      </w:pPr>
      <w:r>
        <w:rPr>
          <w:rFonts w:hint="eastAsia" w:eastAsia="楷体_GB2312"/>
          <w:b w:val="0"/>
          <w:bCs w:val="0"/>
          <w:color w:val="000000"/>
          <w:sz w:val="32"/>
          <w:szCs w:val="32"/>
        </w:rPr>
        <w:t>（七）纺织企业</w:t>
      </w:r>
      <w:r>
        <w:rPr>
          <w:rFonts w:eastAsia="楷体_GB2312"/>
          <w:b w:val="0"/>
          <w:bCs w:val="0"/>
          <w:color w:val="000000"/>
          <w:sz w:val="32"/>
          <w:szCs w:val="32"/>
        </w:rPr>
        <w:t>重点执法检查事项</w:t>
      </w:r>
    </w:p>
    <w:p w14:paraId="62CDE157">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eastAsia="仿宋_GB2312"/>
          <w:color w:val="000000"/>
          <w:sz w:val="32"/>
          <w:szCs w:val="32"/>
        </w:rPr>
        <w:t>1.</w:t>
      </w:r>
      <w:r>
        <w:rPr>
          <w:rFonts w:hint="eastAsia" w:ascii="仿宋_GB2312" w:hAnsi="仿宋_GB2312" w:eastAsia="仿宋_GB2312" w:cs="仿宋_GB2312"/>
          <w:sz w:val="32"/>
          <w:szCs w:val="32"/>
        </w:rPr>
        <w:t>纱、线、织物加工的烧毛、开幅、烘干等热定型工艺的汽化室、燃气贮罐、储油罐、热媒炉，未与生产加工等人员聚集场所隔开或者单独设置。</w:t>
      </w:r>
    </w:p>
    <w:p w14:paraId="3BBAD085">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eastAsia="仿宋_GB2312"/>
          <w:color w:val="000000"/>
          <w:sz w:val="32"/>
          <w:szCs w:val="32"/>
        </w:rPr>
        <w:t>2.</w:t>
      </w:r>
      <w:r>
        <w:rPr>
          <w:rFonts w:hint="eastAsia" w:ascii="仿宋_GB2312" w:hAnsi="仿宋_GB2312" w:eastAsia="仿宋_GB2312" w:cs="仿宋_GB2312"/>
          <w:sz w:val="32"/>
          <w:szCs w:val="32"/>
        </w:rPr>
        <w:t>保险粉、双氧水、次氯酸钠、亚氯酸钠、雕白粉（吊白块）与禁忌物料混合储存，或者保险粉储存场所未采取防水防潮措施。</w:t>
      </w:r>
    </w:p>
    <w:p w14:paraId="55908133">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eastAsia="楷体_GB2312"/>
          <w:b w:val="0"/>
          <w:bCs w:val="0"/>
          <w:color w:val="000000"/>
          <w:sz w:val="32"/>
          <w:szCs w:val="32"/>
        </w:rPr>
      </w:pPr>
      <w:r>
        <w:rPr>
          <w:rFonts w:hint="eastAsia" w:eastAsia="楷体_GB2312"/>
          <w:b w:val="0"/>
          <w:bCs w:val="0"/>
          <w:color w:val="000000"/>
          <w:sz w:val="32"/>
          <w:szCs w:val="32"/>
        </w:rPr>
        <w:t>（八）烟草企业重点执法检查事项</w:t>
      </w:r>
    </w:p>
    <w:p w14:paraId="256621FD">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eastAsia="仿宋_GB2312"/>
          <w:color w:val="000000"/>
          <w:sz w:val="32"/>
          <w:szCs w:val="32"/>
        </w:rPr>
        <w:t>1.</w:t>
      </w:r>
      <w:r>
        <w:rPr>
          <w:rFonts w:hint="eastAsia" w:ascii="仿宋_GB2312" w:hAnsi="仿宋_GB2312" w:eastAsia="仿宋_GB2312" w:cs="仿宋_GB2312"/>
          <w:sz w:val="32"/>
          <w:szCs w:val="32"/>
        </w:rPr>
        <w:t>熏蒸作业场所未配备磷化氢气体浓度监测报警仪器，或者未配备防毒面具，或者熏蒸杀虫作业前未确认无关人员全部撤离熏蒸作业场所。</w:t>
      </w:r>
    </w:p>
    <w:p w14:paraId="3C7C44F0">
      <w:pPr>
        <w:keepNext w:val="0"/>
        <w:keepLines w:val="0"/>
        <w:pageBreakBefore w:val="0"/>
        <w:widowControl w:val="0"/>
        <w:kinsoku/>
        <w:wordWrap/>
        <w:overflowPunct/>
        <w:topLinePunct w:val="0"/>
        <w:autoSpaceDE/>
        <w:autoSpaceDN/>
        <w:bidi w:val="0"/>
        <w:adjustRightInd/>
        <w:snapToGrid/>
        <w:spacing w:line="560" w:lineRule="exact"/>
        <w:ind w:firstLine="640"/>
      </w:pPr>
      <w:r>
        <w:rPr>
          <w:rFonts w:hint="eastAsia" w:eastAsia="仿宋_GB2312"/>
          <w:color w:val="000000"/>
          <w:sz w:val="32"/>
          <w:szCs w:val="32"/>
        </w:rPr>
        <w:t>2.</w:t>
      </w:r>
      <w:r>
        <w:rPr>
          <w:rFonts w:hint="eastAsia" w:ascii="仿宋_GB2312" w:hAnsi="仿宋_GB2312" w:eastAsia="仿宋_GB2312" w:cs="仿宋_GB2312"/>
          <w:sz w:val="32"/>
          <w:szCs w:val="32"/>
        </w:rPr>
        <w:t>使用液态二氧化碳制造膨胀烟丝的生产线和场所未设置固定式二氧化碳浓度监测报警装置，或者监测报警装置未与事故通风设施联锁。</w:t>
      </w:r>
    </w:p>
    <w:p w14:paraId="09017C25">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eastAsia="楷体_GB2312"/>
          <w:b w:val="0"/>
          <w:bCs w:val="0"/>
          <w:color w:val="000000"/>
          <w:sz w:val="32"/>
          <w:szCs w:val="32"/>
        </w:rPr>
      </w:pPr>
      <w:r>
        <w:rPr>
          <w:rFonts w:hint="eastAsia" w:eastAsia="楷体_GB2312"/>
          <w:b w:val="0"/>
          <w:bCs w:val="0"/>
          <w:color w:val="000000"/>
          <w:sz w:val="32"/>
          <w:szCs w:val="32"/>
        </w:rPr>
        <w:t>（九）涉爆粉尘企业重点执法检查事项</w:t>
      </w:r>
    </w:p>
    <w:p w14:paraId="67C67381">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eastAsia="仿宋_GB2312"/>
          <w:color w:val="000000"/>
          <w:sz w:val="32"/>
          <w:szCs w:val="32"/>
        </w:rPr>
        <w:t>1.</w:t>
      </w:r>
      <w:r>
        <w:rPr>
          <w:rFonts w:hint="eastAsia" w:ascii="仿宋_GB2312" w:hAnsi="仿宋_GB2312" w:eastAsia="仿宋_GB2312" w:cs="仿宋_GB2312"/>
          <w:sz w:val="32"/>
          <w:szCs w:val="32"/>
        </w:rPr>
        <w:t>粉尘爆炸危险场所设置在非框架结构的多层建(构)筑物内，或者粉尘爆炸危险场所内设有员工宿舍、会议室、办公室、休息室等人员聚集场所。</w:t>
      </w:r>
    </w:p>
    <w:p w14:paraId="6B9ADAF4">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eastAsia="仿宋_GB2312"/>
          <w:color w:val="000000"/>
          <w:sz w:val="32"/>
          <w:szCs w:val="32"/>
        </w:rPr>
        <w:t>2.</w:t>
      </w:r>
      <w:r>
        <w:rPr>
          <w:rFonts w:hint="eastAsia" w:ascii="仿宋_GB2312" w:hAnsi="仿宋_GB2312" w:eastAsia="仿宋_GB2312" w:cs="仿宋_GB2312"/>
          <w:sz w:val="32"/>
          <w:szCs w:val="32"/>
        </w:rPr>
        <w:t>不同类别的可燃性粉尘、可燃性粉尘与可燃气体等易加剧爆炸危险的介质共用一套除尘系统，或者不同建（构）筑物、不同防火分区共用一套除尘系统、除尘系统互联互通。</w:t>
      </w:r>
    </w:p>
    <w:p w14:paraId="3AA66EA4">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eastAsia="仿宋_GB2312"/>
          <w:color w:val="000000"/>
          <w:sz w:val="32"/>
          <w:szCs w:val="32"/>
        </w:rPr>
        <w:t>3.</w:t>
      </w:r>
      <w:r>
        <w:rPr>
          <w:rFonts w:hint="eastAsia" w:ascii="仿宋_GB2312" w:hAnsi="仿宋_GB2312" w:eastAsia="仿宋_GB2312" w:cs="仿宋_GB2312"/>
          <w:sz w:val="32"/>
          <w:szCs w:val="32"/>
        </w:rPr>
        <w:t>干式除尘系统未采取泄爆、惰化、抑爆等任一种爆炸防控措施。</w:t>
      </w:r>
    </w:p>
    <w:p w14:paraId="596AA992">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eastAsia="仿宋_GB2312"/>
          <w:color w:val="000000"/>
          <w:sz w:val="32"/>
          <w:szCs w:val="32"/>
        </w:rPr>
        <w:t>4.</w:t>
      </w:r>
      <w:r>
        <w:rPr>
          <w:rFonts w:hint="eastAsia" w:ascii="仿宋_GB2312" w:hAnsi="仿宋_GB2312" w:eastAsia="仿宋_GB2312" w:cs="仿宋_GB2312"/>
          <w:sz w:val="32"/>
          <w:szCs w:val="32"/>
        </w:rPr>
        <w:t>铝镁等金属粉尘除尘系统采用正压除尘方式，或者其他可燃性粉尘除尘系统采用正压吹送粉尘时，未采取火花探测消除等防范点燃源措施。</w:t>
      </w:r>
    </w:p>
    <w:p w14:paraId="33FD42B5">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eastAsia="仿宋_GB2312"/>
          <w:color w:val="000000"/>
          <w:sz w:val="32"/>
          <w:szCs w:val="32"/>
        </w:rPr>
        <w:t>5.</w:t>
      </w:r>
      <w:r>
        <w:rPr>
          <w:rFonts w:hint="eastAsia" w:ascii="仿宋_GB2312" w:hAnsi="仿宋_GB2312" w:eastAsia="仿宋_GB2312" w:cs="仿宋_GB2312"/>
          <w:sz w:val="32"/>
          <w:szCs w:val="32"/>
        </w:rPr>
        <w:t>除尘系统采用重力沉降室除尘，或者采用干式巷道式构筑物作为除尘风道。</w:t>
      </w:r>
    </w:p>
    <w:p w14:paraId="3CE6D57F">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eastAsia="仿宋_GB2312"/>
          <w:color w:val="000000"/>
          <w:sz w:val="32"/>
          <w:szCs w:val="32"/>
        </w:rPr>
        <w:t>6.</w:t>
      </w:r>
      <w:r>
        <w:rPr>
          <w:rFonts w:hint="eastAsia" w:ascii="仿宋_GB2312" w:hAnsi="仿宋_GB2312" w:eastAsia="仿宋_GB2312" w:cs="仿宋_GB2312"/>
          <w:sz w:val="32"/>
          <w:szCs w:val="32"/>
        </w:rPr>
        <w:t>铝镁等金属粉尘、木质粉尘的干式除尘系统未设置锁气卸灰装置。</w:t>
      </w:r>
    </w:p>
    <w:p w14:paraId="3EAFFFEC">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eastAsia="仿宋_GB2312"/>
          <w:color w:val="000000"/>
          <w:sz w:val="32"/>
          <w:szCs w:val="32"/>
        </w:rPr>
        <w:t>7.</w:t>
      </w:r>
      <w:r>
        <w:rPr>
          <w:rFonts w:hint="eastAsia" w:ascii="仿宋_GB2312" w:hAnsi="仿宋_GB2312" w:eastAsia="仿宋_GB2312" w:cs="仿宋_GB2312"/>
          <w:sz w:val="32"/>
          <w:szCs w:val="32"/>
        </w:rPr>
        <w:t>除尘器、收尘仓等划分为20区的粉尘爆炸危险场所电气设备不符合防爆要求。</w:t>
      </w:r>
    </w:p>
    <w:p w14:paraId="6FA1C6A2">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eastAsia="仿宋_GB2312"/>
          <w:color w:val="000000"/>
          <w:sz w:val="32"/>
          <w:szCs w:val="32"/>
        </w:rPr>
        <w:t>8.</w:t>
      </w:r>
      <w:r>
        <w:rPr>
          <w:rFonts w:hint="eastAsia" w:ascii="仿宋_GB2312" w:hAnsi="仿宋_GB2312" w:eastAsia="仿宋_GB2312" w:cs="仿宋_GB2312"/>
          <w:sz w:val="32"/>
          <w:szCs w:val="32"/>
        </w:rPr>
        <w:t>粉碎、研磨、造粒等易产生机械点燃源的工艺设备前，未设置铁、石等杂物去除装置，或者木制品加工企业与砂光机连接的风管未设置火花探测消除装置。</w:t>
      </w:r>
    </w:p>
    <w:p w14:paraId="318D91DC">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eastAsia="仿宋_GB2312"/>
          <w:color w:val="000000"/>
          <w:sz w:val="32"/>
          <w:szCs w:val="32"/>
        </w:rPr>
        <w:t>9.</w:t>
      </w:r>
      <w:r>
        <w:rPr>
          <w:rFonts w:hint="eastAsia" w:ascii="仿宋_GB2312" w:hAnsi="仿宋_GB2312" w:eastAsia="仿宋_GB2312" w:cs="仿宋_GB2312"/>
          <w:sz w:val="32"/>
          <w:szCs w:val="32"/>
        </w:rPr>
        <w:t>遇湿自燃金属粉尘收集、堆放、储存场所未采取通风等防止氢气积聚措施，或者干式收集、堆放、储存场所未采取防水、防潮措施。</w:t>
      </w:r>
    </w:p>
    <w:p w14:paraId="5EBC1FBA">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eastAsia="仿宋_GB2312"/>
          <w:color w:val="000000"/>
          <w:sz w:val="32"/>
          <w:szCs w:val="32"/>
        </w:rPr>
      </w:pPr>
      <w:r>
        <w:rPr>
          <w:rFonts w:hint="eastAsia" w:eastAsia="仿宋_GB2312"/>
          <w:color w:val="000000"/>
          <w:sz w:val="32"/>
          <w:szCs w:val="32"/>
        </w:rPr>
        <w:t>10.</w:t>
      </w:r>
      <w:r>
        <w:rPr>
          <w:rFonts w:hint="eastAsia" w:ascii="仿宋_GB2312" w:hAnsi="仿宋_GB2312" w:eastAsia="仿宋_GB2312" w:cs="仿宋_GB2312"/>
          <w:sz w:val="32"/>
          <w:szCs w:val="32"/>
        </w:rPr>
        <w:t>未落实粉尘清理制度，造成作业现场积尘严重</w:t>
      </w:r>
      <w:r>
        <w:rPr>
          <w:rFonts w:eastAsia="仿宋_GB2312"/>
          <w:color w:val="000000"/>
          <w:sz w:val="32"/>
          <w:szCs w:val="32"/>
        </w:rPr>
        <w:t>。</w:t>
      </w:r>
    </w:p>
    <w:p w14:paraId="18890BA0">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eastAsia="楷体_GB2312"/>
          <w:b w:val="0"/>
          <w:bCs w:val="0"/>
          <w:color w:val="000000"/>
          <w:sz w:val="32"/>
          <w:szCs w:val="32"/>
        </w:rPr>
      </w:pPr>
      <w:r>
        <w:rPr>
          <w:rFonts w:hint="eastAsia" w:eastAsia="楷体_GB2312"/>
          <w:b w:val="0"/>
          <w:bCs w:val="0"/>
          <w:color w:val="000000"/>
          <w:sz w:val="32"/>
          <w:szCs w:val="32"/>
        </w:rPr>
        <w:t>（十）涉氨制冷企业重点执法检查事项</w:t>
      </w:r>
    </w:p>
    <w:p w14:paraId="4AFD02EC">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eastAsia="仿宋_GB2312"/>
          <w:color w:val="000000"/>
          <w:sz w:val="32"/>
          <w:szCs w:val="32"/>
        </w:rPr>
        <w:t>1.</w:t>
      </w:r>
      <w:r>
        <w:rPr>
          <w:rFonts w:hint="eastAsia" w:ascii="仿宋_GB2312" w:hAnsi="仿宋_GB2312" w:eastAsia="仿宋_GB2312" w:cs="仿宋_GB2312"/>
          <w:sz w:val="32"/>
          <w:szCs w:val="32"/>
        </w:rPr>
        <w:t>包装、分割、产品整理场所的空调系统采用氨直接蒸发制冷。</w:t>
      </w:r>
    </w:p>
    <w:p w14:paraId="6E4CEDD8">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eastAsia="仿宋_GB2312"/>
          <w:color w:val="000000"/>
          <w:sz w:val="32"/>
          <w:szCs w:val="32"/>
        </w:rPr>
        <w:t>2.</w:t>
      </w:r>
      <w:r>
        <w:rPr>
          <w:rFonts w:hint="eastAsia" w:ascii="仿宋_GB2312" w:hAnsi="仿宋_GB2312" w:eastAsia="仿宋_GB2312" w:cs="仿宋_GB2312"/>
          <w:sz w:val="32"/>
          <w:szCs w:val="32"/>
        </w:rPr>
        <w:t>快速冻结装置未设置在单独的作业间内，或者快速冻结装置作业间内作业人员数量超过9人。</w:t>
      </w:r>
    </w:p>
    <w:p w14:paraId="1A6120D0">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eastAsia="楷体_GB2312"/>
          <w:b w:val="0"/>
          <w:bCs w:val="0"/>
          <w:color w:val="000000"/>
          <w:sz w:val="32"/>
          <w:szCs w:val="32"/>
        </w:rPr>
      </w:pPr>
      <w:r>
        <w:rPr>
          <w:rFonts w:hint="eastAsia" w:eastAsia="楷体_GB2312"/>
          <w:b w:val="0"/>
          <w:bCs w:val="0"/>
          <w:color w:val="000000"/>
          <w:sz w:val="32"/>
          <w:szCs w:val="32"/>
        </w:rPr>
        <w:t>（十一）存在硫化氢、一氧化碳等中毒风险有限空间作业企业重点执法检查事项</w:t>
      </w:r>
    </w:p>
    <w:p w14:paraId="5452701F">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eastAsia="仿宋_GB2312"/>
          <w:color w:val="000000"/>
          <w:sz w:val="32"/>
          <w:szCs w:val="32"/>
        </w:rPr>
        <w:t>1.</w:t>
      </w:r>
      <w:r>
        <w:rPr>
          <w:rFonts w:hint="eastAsia" w:ascii="仿宋_GB2312" w:hAnsi="仿宋_GB2312" w:eastAsia="仿宋_GB2312" w:cs="仿宋_GB2312"/>
          <w:sz w:val="32"/>
          <w:szCs w:val="32"/>
        </w:rPr>
        <w:t>未对有限空间进行辨识、建立安全管理台账，并且未设置明显的安全警示标志。</w:t>
      </w:r>
    </w:p>
    <w:p w14:paraId="4CA437FB">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eastAsia="仿宋_GB2312"/>
          <w:color w:val="000000"/>
          <w:sz w:val="32"/>
          <w:szCs w:val="32"/>
        </w:rPr>
        <w:t>2.</w:t>
      </w:r>
      <w:r>
        <w:rPr>
          <w:rFonts w:hint="eastAsia" w:ascii="仿宋_GB2312" w:hAnsi="仿宋_GB2312" w:eastAsia="仿宋_GB2312" w:cs="仿宋_GB2312"/>
          <w:sz w:val="32"/>
          <w:szCs w:val="32"/>
        </w:rPr>
        <w:t>未落实有限空间作业审批，或者未执行“先通风、再检测、后作业”要求，或者作业现场未设置监护人员。</w:t>
      </w:r>
    </w:p>
    <w:p w14:paraId="59AAC2FB">
      <w:pPr>
        <w:pStyle w:val="13"/>
        <w:keepNext w:val="0"/>
        <w:keepLines w:val="0"/>
        <w:pageBreakBefore w:val="0"/>
        <w:kinsoku/>
        <w:wordWrap/>
        <w:overflowPunct/>
        <w:topLinePunct w:val="0"/>
        <w:bidi w:val="0"/>
        <w:spacing w:line="560" w:lineRule="exact"/>
      </w:pPr>
    </w:p>
    <w:p w14:paraId="371DF222">
      <w:pPr>
        <w:pStyle w:val="13"/>
        <w:keepNext w:val="0"/>
        <w:keepLines w:val="0"/>
        <w:pageBreakBefore w:val="0"/>
        <w:kinsoku/>
        <w:wordWrap/>
        <w:overflowPunct/>
        <w:topLinePunct w:val="0"/>
        <w:bidi w:val="0"/>
        <w:spacing w:line="560" w:lineRule="exact"/>
      </w:pPr>
    </w:p>
    <w:p w14:paraId="6187D847">
      <w:pPr>
        <w:pStyle w:val="13"/>
        <w:keepNext w:val="0"/>
        <w:keepLines w:val="0"/>
        <w:pageBreakBefore w:val="0"/>
        <w:kinsoku/>
        <w:wordWrap/>
        <w:overflowPunct/>
        <w:topLinePunct w:val="0"/>
        <w:bidi w:val="0"/>
        <w:spacing w:line="560" w:lineRule="exact"/>
      </w:pPr>
    </w:p>
    <w:p w14:paraId="58497D72">
      <w:pPr>
        <w:pStyle w:val="13"/>
        <w:keepNext w:val="0"/>
        <w:keepLines w:val="0"/>
        <w:pageBreakBefore w:val="0"/>
        <w:kinsoku/>
        <w:wordWrap/>
        <w:overflowPunct/>
        <w:topLinePunct w:val="0"/>
        <w:bidi w:val="0"/>
        <w:spacing w:line="560" w:lineRule="exact"/>
      </w:pPr>
    </w:p>
    <w:p w14:paraId="725A96BB">
      <w:pPr>
        <w:pStyle w:val="13"/>
        <w:keepNext w:val="0"/>
        <w:keepLines w:val="0"/>
        <w:pageBreakBefore w:val="0"/>
        <w:kinsoku/>
        <w:wordWrap/>
        <w:overflowPunct/>
        <w:topLinePunct w:val="0"/>
        <w:bidi w:val="0"/>
        <w:spacing w:line="560" w:lineRule="exact"/>
      </w:pPr>
    </w:p>
    <w:p w14:paraId="485192E3">
      <w:pPr>
        <w:pStyle w:val="14"/>
        <w:keepNext w:val="0"/>
        <w:keepLines w:val="0"/>
        <w:pageBreakBefore w:val="0"/>
        <w:widowControl w:val="0"/>
        <w:numPr>
          <w:ilvl w:val="0"/>
          <w:numId w:val="2"/>
        </w:numPr>
        <w:kinsoku/>
        <w:wordWrap/>
        <w:overflowPunct/>
        <w:topLinePunct w:val="0"/>
        <w:bidi w:val="0"/>
        <w:snapToGrid w:val="0"/>
        <w:spacing w:line="560" w:lineRule="exact"/>
        <w:ind w:firstLine="640" w:firstLineChars="200"/>
        <w:textAlignment w:val="auto"/>
        <w:rPr>
          <w:rFonts w:hint="eastAsia" w:ascii="黑体" w:hAnsi="黑体" w:eastAsia="黑体" w:cs="黑体"/>
          <w:b w:val="0"/>
          <w:bCs w:val="0"/>
          <w:kern w:val="2"/>
          <w:sz w:val="32"/>
          <w:szCs w:val="32"/>
        </w:rPr>
      </w:pPr>
      <w:r>
        <w:rPr>
          <w:rFonts w:hint="eastAsia" w:ascii="黑体" w:hAnsi="黑体" w:eastAsia="黑体" w:cs="黑体"/>
          <w:b w:val="0"/>
          <w:bCs w:val="0"/>
          <w:kern w:val="2"/>
          <w:sz w:val="32"/>
          <w:szCs w:val="32"/>
        </w:rPr>
        <w:t>危险化学品企业重点执法检查事项</w:t>
      </w:r>
    </w:p>
    <w:p w14:paraId="62B60EE0">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rPr>
          <w:rFonts w:eastAsia="仿宋_GB2312"/>
          <w:color w:val="000000"/>
          <w:sz w:val="32"/>
          <w:szCs w:val="32"/>
        </w:rPr>
      </w:pPr>
      <w:r>
        <w:rPr>
          <w:rFonts w:eastAsia="仿宋_GB2312"/>
          <w:color w:val="000000"/>
          <w:sz w:val="32"/>
          <w:szCs w:val="32"/>
        </w:rPr>
        <w:t>1.新招录（重点监管）危险（化工）工艺操作岗位人员是否经实习期满独立上岗作业。</w:t>
      </w:r>
    </w:p>
    <w:p w14:paraId="0B1ED577">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rPr>
          <w:rFonts w:eastAsia="仿宋_GB2312"/>
          <w:color w:val="000000"/>
          <w:sz w:val="32"/>
          <w:szCs w:val="32"/>
        </w:rPr>
      </w:pPr>
      <w:r>
        <w:rPr>
          <w:rFonts w:eastAsia="仿宋_GB2312"/>
          <w:color w:val="000000"/>
          <w:sz w:val="32"/>
          <w:szCs w:val="32"/>
        </w:rPr>
        <w:t>2.是否存在脱水、装卸、倒罐作业时，作业人员离开现场或油气罐区同一防火堤内切水和动火作业同时进行的情况。</w:t>
      </w:r>
    </w:p>
    <w:p w14:paraId="4D5FFC20">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rPr>
          <w:rFonts w:eastAsia="仿宋_GB2312"/>
          <w:color w:val="000000"/>
          <w:sz w:val="32"/>
          <w:szCs w:val="32"/>
        </w:rPr>
      </w:pPr>
      <w:r>
        <w:rPr>
          <w:rFonts w:eastAsia="仿宋_GB2312"/>
          <w:color w:val="000000"/>
          <w:sz w:val="32"/>
          <w:szCs w:val="32"/>
        </w:rPr>
        <w:t>3.是否按照规定建立有限空间管理台账并及时更新；是否按照规定对有限空间危险因素进行辨识或者是否辨识不全存在缺项；是否按照规定对辨识出的有限空间危险因素进行分级管控；是否对存在中毒窒息或者易燃易爆危险因素的有限空间区域实行人员出入及过程管控。</w:t>
      </w:r>
    </w:p>
    <w:p w14:paraId="209D1713">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rPr>
          <w:rFonts w:eastAsia="仿宋_GB2312"/>
          <w:color w:val="000000"/>
          <w:sz w:val="32"/>
          <w:szCs w:val="32"/>
        </w:rPr>
      </w:pPr>
      <w:r>
        <w:rPr>
          <w:rFonts w:eastAsia="仿宋_GB2312"/>
          <w:color w:val="000000"/>
          <w:sz w:val="32"/>
          <w:szCs w:val="32"/>
        </w:rPr>
        <w:t>4.是否存在将火种带入易燃易爆场所或存在脱岗、睡岗、酒后上岗行为。</w:t>
      </w:r>
    </w:p>
    <w:p w14:paraId="6DB6F510">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rPr>
          <w:rFonts w:eastAsia="仿宋_GB2312"/>
          <w:color w:val="000000"/>
          <w:sz w:val="32"/>
          <w:szCs w:val="32"/>
        </w:rPr>
      </w:pPr>
      <w:r>
        <w:rPr>
          <w:rFonts w:eastAsia="仿宋_GB2312"/>
          <w:color w:val="000000"/>
          <w:sz w:val="32"/>
          <w:szCs w:val="32"/>
        </w:rPr>
        <w:t>5.危险化学品生产装置、罐区、仓库等设施与周边的安全距离是否符合要求；涉及“两重点一重大”的生产装置、储存设施外部安全防护距离是否符合国家标准要求。</w:t>
      </w:r>
    </w:p>
    <w:p w14:paraId="0D1BE785">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rPr>
          <w:rFonts w:eastAsia="仿宋_GB2312"/>
          <w:color w:val="000000"/>
          <w:sz w:val="32"/>
          <w:szCs w:val="32"/>
        </w:rPr>
      </w:pPr>
      <w:r>
        <w:rPr>
          <w:rFonts w:eastAsia="仿宋_GB2312"/>
          <w:color w:val="000000"/>
          <w:sz w:val="32"/>
          <w:szCs w:val="32"/>
        </w:rPr>
        <w:t>6.光气、氯气（液氯）等剧毒化学品（及硫化氢气体）管道是否穿（跨）越厂区（包括化工园区、工业园区）外的公共区域。</w:t>
      </w:r>
    </w:p>
    <w:p w14:paraId="6B2CDAD4">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rPr>
          <w:rFonts w:eastAsia="仿宋_GB2312"/>
          <w:color w:val="000000"/>
          <w:sz w:val="32"/>
          <w:szCs w:val="32"/>
        </w:rPr>
      </w:pPr>
      <w:r>
        <w:rPr>
          <w:rFonts w:eastAsia="仿宋_GB2312"/>
          <w:color w:val="000000"/>
          <w:sz w:val="32"/>
          <w:szCs w:val="32"/>
        </w:rPr>
        <w:t>7.地区架空电力线路是否穿越生产区，是否符合国家标准要求。</w:t>
      </w:r>
    </w:p>
    <w:p w14:paraId="7033390D">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rPr>
          <w:rFonts w:eastAsia="仿宋_GB2312"/>
          <w:color w:val="000000"/>
          <w:sz w:val="32"/>
          <w:szCs w:val="32"/>
        </w:rPr>
      </w:pPr>
      <w:r>
        <w:rPr>
          <w:rFonts w:eastAsia="仿宋_GB2312"/>
          <w:color w:val="000000"/>
          <w:sz w:val="32"/>
          <w:szCs w:val="32"/>
        </w:rPr>
        <w:t>8.控制室或机柜间面向具有火灾、爆炸危险性装置一侧是否满足国家标准关于防火防爆的要求。</w:t>
      </w:r>
    </w:p>
    <w:p w14:paraId="792B62ED">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rPr>
          <w:rFonts w:eastAsia="仿宋_GB2312"/>
          <w:color w:val="000000"/>
          <w:sz w:val="32"/>
          <w:szCs w:val="32"/>
        </w:rPr>
      </w:pPr>
      <w:r>
        <w:rPr>
          <w:rFonts w:eastAsia="仿宋_GB2312"/>
          <w:color w:val="000000"/>
          <w:sz w:val="32"/>
          <w:szCs w:val="32"/>
        </w:rPr>
        <w:t>9.生产、经营、储存、使用危险化学品的车间、仓库与员工宿舍在同一座建筑内或与员工宿舍的距离是否符合安全要求。</w:t>
      </w:r>
    </w:p>
    <w:p w14:paraId="0EB19614">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rPr>
          <w:rFonts w:eastAsia="仿宋_GB2312"/>
          <w:color w:val="000000"/>
          <w:sz w:val="32"/>
          <w:szCs w:val="32"/>
        </w:rPr>
      </w:pPr>
      <w:r>
        <w:rPr>
          <w:rFonts w:eastAsia="仿宋_GB2312"/>
          <w:color w:val="000000"/>
          <w:sz w:val="32"/>
          <w:szCs w:val="32"/>
        </w:rPr>
        <w:t>10.是否存在使用国家明令淘汰的危及生产安全的工艺、设备情况。</w:t>
      </w:r>
    </w:p>
    <w:p w14:paraId="62AC29B0">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rPr>
          <w:rFonts w:eastAsia="仿宋_GB2312"/>
          <w:color w:val="000000"/>
          <w:sz w:val="32"/>
          <w:szCs w:val="32"/>
        </w:rPr>
      </w:pPr>
      <w:r>
        <w:rPr>
          <w:rFonts w:eastAsia="仿宋_GB2312"/>
          <w:color w:val="000000"/>
          <w:sz w:val="32"/>
          <w:szCs w:val="32"/>
        </w:rPr>
        <w:t>11.新开发的危险化学品生产工艺是否经逐级放大试验到工业化生产或首次使用的化工工艺是否经省级人民政府有关部门组织安全可靠性论证；新建装置是否制定试生产方案投料开车；精细化工企业是否按规范性文件要求开展反应安全风险评估。</w:t>
      </w:r>
    </w:p>
    <w:p w14:paraId="216C47BA">
      <w:pPr>
        <w:keepNext w:val="0"/>
        <w:keepLines w:val="0"/>
        <w:pageBreakBefore w:val="0"/>
        <w:widowControl w:val="0"/>
        <w:kinsoku/>
        <w:wordWrap/>
        <w:overflowPunct/>
        <w:topLinePunct w:val="0"/>
        <w:bidi w:val="0"/>
        <w:adjustRightInd w:val="0"/>
        <w:snapToGrid w:val="0"/>
        <w:spacing w:line="560" w:lineRule="exact"/>
        <w:ind w:firstLine="624" w:firstLineChars="200"/>
        <w:textAlignment w:val="auto"/>
        <w:rPr>
          <w:rFonts w:eastAsia="仿宋_GB2312"/>
          <w:color w:val="000000"/>
          <w:spacing w:val="-4"/>
          <w:sz w:val="32"/>
          <w:szCs w:val="32"/>
        </w:rPr>
      </w:pPr>
      <w:r>
        <w:rPr>
          <w:rFonts w:eastAsia="仿宋_GB2312"/>
          <w:color w:val="000000"/>
          <w:spacing w:val="-4"/>
          <w:sz w:val="32"/>
          <w:szCs w:val="32"/>
        </w:rPr>
        <w:t>12.涉及重点监管危险化工工艺、重点监管危险化学品的装置是否实现自动化控制；涉及重点监管危险化工工艺的大型化工装置是否设置紧急停车系统；涉及毒性气体、液化气体、剧毒液体的一级或者二级重大危险源，是否配备独立的安全仪表系统（SIS）。</w:t>
      </w:r>
    </w:p>
    <w:p w14:paraId="1A9A1CE1">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rPr>
          <w:rFonts w:eastAsia="仿宋_GB2312"/>
          <w:color w:val="000000"/>
          <w:sz w:val="32"/>
          <w:szCs w:val="32"/>
        </w:rPr>
      </w:pPr>
      <w:r>
        <w:rPr>
          <w:rFonts w:eastAsia="仿宋_GB2312"/>
          <w:color w:val="000000"/>
          <w:sz w:val="32"/>
          <w:szCs w:val="32"/>
        </w:rPr>
        <w:t>13.油气储罐是否按规定达到以下要求的：（1）液化烃的储罐设液位计、温度计、压力表、安全阀，以及高液位报警和高液位自动连锁切断进料措施；全冷冻式液化烃储罐设与自动控制系统相联的真空泄放设施和高、低温度检测装置；（2）气柜设上、下限位报警装置，并宜设进出管道自动联锁切断装置；（3）液化石油气球形储罐液相进出口设置紧急切断阀，其位置宜靠近球形储罐；（4）丙烯、丙烷、混合C4、抽余C4及液化石油气的球形储罐设置注水措施。</w:t>
      </w:r>
    </w:p>
    <w:p w14:paraId="341AF28E">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rPr>
          <w:rFonts w:eastAsia="仿宋_GB2312"/>
          <w:color w:val="000000"/>
          <w:sz w:val="32"/>
          <w:szCs w:val="32"/>
        </w:rPr>
      </w:pPr>
      <w:r>
        <w:rPr>
          <w:rFonts w:eastAsia="仿宋_GB2312"/>
          <w:color w:val="000000"/>
          <w:sz w:val="32"/>
          <w:szCs w:val="32"/>
        </w:rPr>
        <w:t>14.液化烃、液氨、液氯等易燃易爆、有毒有害液化气体的充装是否使用万向节管道充装系统。</w:t>
      </w:r>
    </w:p>
    <w:p w14:paraId="0FD07A77">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rPr>
          <w:rFonts w:eastAsia="仿宋_GB2312"/>
          <w:color w:val="000000"/>
          <w:sz w:val="32"/>
          <w:szCs w:val="32"/>
        </w:rPr>
      </w:pPr>
      <w:r>
        <w:rPr>
          <w:rFonts w:eastAsia="仿宋_GB2312"/>
          <w:color w:val="000000"/>
          <w:sz w:val="32"/>
          <w:szCs w:val="32"/>
        </w:rPr>
        <w:t>15.在易燃易爆的爆炸危险区域内是否按相关国家标准使用防爆工具、防爆电器或采取防爆措施。</w:t>
      </w:r>
    </w:p>
    <w:p w14:paraId="5D749696">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rPr>
          <w:rFonts w:eastAsia="仿宋_GB2312"/>
          <w:color w:val="000000"/>
          <w:sz w:val="32"/>
          <w:szCs w:val="32"/>
        </w:rPr>
      </w:pPr>
      <w:r>
        <w:rPr>
          <w:rFonts w:eastAsia="仿宋_GB2312"/>
          <w:color w:val="000000"/>
          <w:sz w:val="32"/>
          <w:szCs w:val="32"/>
        </w:rPr>
        <w:t>16.在厂房、围堤、窨井等场所内是否设置有毒有害气体排放口，是否采取有效防范措施。</w:t>
      </w:r>
    </w:p>
    <w:p w14:paraId="2D604AB9">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rPr>
          <w:rFonts w:eastAsia="仿宋_GB2312"/>
          <w:color w:val="000000"/>
          <w:sz w:val="32"/>
          <w:szCs w:val="32"/>
        </w:rPr>
      </w:pPr>
      <w:r>
        <w:rPr>
          <w:rFonts w:eastAsia="仿宋_GB2312"/>
          <w:color w:val="000000"/>
          <w:sz w:val="32"/>
          <w:szCs w:val="32"/>
        </w:rPr>
        <w:t>17.有毒有害、可燃气体泄漏检测报警系统是否按照标准设置、使用或定期检测校验；以及报警信号是否发送至有操作人员常驻的控制室、现场操作室进行报警。</w:t>
      </w:r>
    </w:p>
    <w:p w14:paraId="4783C5B2">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rPr>
          <w:rFonts w:eastAsia="仿宋_GB2312"/>
          <w:color w:val="000000"/>
          <w:sz w:val="32"/>
          <w:szCs w:val="32"/>
        </w:rPr>
      </w:pPr>
      <w:r>
        <w:rPr>
          <w:rFonts w:eastAsia="仿宋_GB2312"/>
          <w:color w:val="000000"/>
          <w:sz w:val="32"/>
          <w:szCs w:val="32"/>
        </w:rPr>
        <w:t>18.涉及放热反应的危险化工工艺生产装置是否设置双重电源供电或控制系统，是否设置不间断电源（UPS）。</w:t>
      </w:r>
    </w:p>
    <w:p w14:paraId="3A1132C4">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rPr>
          <w:rFonts w:eastAsia="仿宋_GB2312"/>
          <w:color w:val="000000"/>
          <w:sz w:val="32"/>
          <w:szCs w:val="32"/>
        </w:rPr>
      </w:pPr>
      <w:r>
        <w:rPr>
          <w:rFonts w:eastAsia="仿宋_GB2312"/>
          <w:color w:val="000000"/>
          <w:sz w:val="32"/>
          <w:szCs w:val="32"/>
        </w:rPr>
        <w:t>19.在用装置（设施）安全阀或泄压排放系统是否正常投用。</w:t>
      </w:r>
    </w:p>
    <w:p w14:paraId="1FBBC82F">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rPr>
          <w:rFonts w:eastAsia="仿宋_GB2312"/>
          <w:color w:val="000000"/>
          <w:sz w:val="32"/>
          <w:szCs w:val="32"/>
        </w:rPr>
      </w:pPr>
      <w:r>
        <w:rPr>
          <w:rFonts w:eastAsia="仿宋_GB2312"/>
          <w:color w:val="000000"/>
          <w:sz w:val="32"/>
          <w:szCs w:val="32"/>
        </w:rPr>
        <w:t>20.涉及液化烃、液氨、液氯、硫化氢等易燃易爆及有毒介质的安全阀及其他泄放设施直排大气是否采取相应安全措施。</w:t>
      </w:r>
    </w:p>
    <w:p w14:paraId="7F45DEA6">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rPr>
          <w:rFonts w:eastAsia="仿宋_GB2312"/>
          <w:color w:val="000000"/>
          <w:sz w:val="32"/>
          <w:szCs w:val="32"/>
        </w:rPr>
      </w:pPr>
      <w:r>
        <w:rPr>
          <w:rFonts w:eastAsia="仿宋_GB2312"/>
          <w:color w:val="000000"/>
          <w:sz w:val="32"/>
          <w:szCs w:val="32"/>
        </w:rPr>
        <w:t>21.危险化学品是否按照标准分区、分类、分库存放，或存在超量、超品种以及相互禁忌物质是否存在混放混存情况。</w:t>
      </w:r>
    </w:p>
    <w:p w14:paraId="572B6789">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rPr>
          <w:rFonts w:eastAsia="仿宋_GB2312"/>
          <w:color w:val="000000"/>
          <w:sz w:val="32"/>
          <w:szCs w:val="32"/>
        </w:rPr>
      </w:pPr>
      <w:r>
        <w:rPr>
          <w:rFonts w:eastAsia="仿宋_GB2312"/>
          <w:color w:val="000000"/>
          <w:sz w:val="32"/>
          <w:szCs w:val="32"/>
        </w:rPr>
        <w:t>22.危险化学品专用仓库是否符合国家标准、行业标准的要求。</w:t>
      </w:r>
    </w:p>
    <w:p w14:paraId="6C2A83B5">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rPr>
          <w:rFonts w:eastAsia="仿宋_GB2312"/>
          <w:color w:val="000000"/>
          <w:sz w:val="32"/>
          <w:szCs w:val="32"/>
        </w:rPr>
      </w:pPr>
      <w:r>
        <w:rPr>
          <w:rFonts w:eastAsia="仿宋_GB2312"/>
          <w:color w:val="000000"/>
          <w:sz w:val="32"/>
          <w:szCs w:val="32"/>
        </w:rPr>
        <w:t>23.是否将危险化学品储存在专用仓库内，或者是否将剧毒化学品以及储存数量构成重大危险源的其他危险化学品在专用仓库内单独存放。</w:t>
      </w:r>
    </w:p>
    <w:p w14:paraId="5EAF31AA">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rPr>
          <w:rFonts w:eastAsia="仿宋_GB2312"/>
          <w:color w:val="000000"/>
          <w:sz w:val="32"/>
          <w:szCs w:val="32"/>
        </w:rPr>
      </w:pPr>
      <w:r>
        <w:rPr>
          <w:rFonts w:eastAsia="仿宋_GB2312"/>
          <w:color w:val="000000"/>
          <w:sz w:val="32"/>
          <w:szCs w:val="32"/>
        </w:rPr>
        <w:t>24.是否配备应急救援器材、设备并进行维护、保养，保证正常运转。</w:t>
      </w:r>
    </w:p>
    <w:p w14:paraId="18FF5683">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rPr>
          <w:rFonts w:eastAsia="微软雅黑"/>
          <w:color w:val="000000"/>
          <w:sz w:val="24"/>
        </w:rPr>
      </w:pPr>
      <w:r>
        <w:rPr>
          <w:rFonts w:eastAsia="仿宋_GB2312"/>
          <w:color w:val="000000"/>
          <w:sz w:val="32"/>
          <w:szCs w:val="32"/>
        </w:rPr>
        <w:t>25.生产、储存危险化学品的单位，是否根据其生产、储存的危险化学品的种类和危险特性，在作业场所设置相应的监测、监控、通风、防晒、调温、防火、灭火、防爆、泄压、防毒、中和、防潮、防雷、防静电、防腐、防泄漏以及防护围堤或者隔离操作等安全设施、设备，是否按照国家标准、行业标准或者国家有关规定对安全设施、设备进行经常性维护、保养，保证安全设施、设备的正常使用。</w:t>
      </w:r>
    </w:p>
    <w:p w14:paraId="3016F9A9">
      <w:pPr>
        <w:pStyle w:val="14"/>
        <w:keepNext w:val="0"/>
        <w:keepLines w:val="0"/>
        <w:pageBreakBefore w:val="0"/>
        <w:widowControl w:val="0"/>
        <w:kinsoku/>
        <w:wordWrap/>
        <w:overflowPunct/>
        <w:topLinePunct w:val="0"/>
        <w:bidi w:val="0"/>
        <w:snapToGrid w:val="0"/>
        <w:spacing w:line="560" w:lineRule="exact"/>
        <w:ind w:firstLine="640" w:firstLineChars="200"/>
        <w:textAlignment w:val="auto"/>
        <w:rPr>
          <w:rFonts w:hint="default" w:ascii="Times New Roman" w:hAnsi="Times New Roman" w:eastAsia="楷体_GB2312"/>
          <w:b w:val="0"/>
          <w:bCs w:val="0"/>
          <w:kern w:val="2"/>
          <w:sz w:val="32"/>
          <w:szCs w:val="32"/>
        </w:rPr>
      </w:pPr>
      <w:r>
        <w:rPr>
          <w:rFonts w:hint="default" w:ascii="Times New Roman" w:hAnsi="Times New Roman" w:eastAsia="楷体_GB2312"/>
          <w:b w:val="0"/>
          <w:bCs w:val="0"/>
          <w:kern w:val="2"/>
          <w:sz w:val="32"/>
          <w:szCs w:val="32"/>
        </w:rPr>
        <w:t>（二）烟花爆竹企业重点执法检查事项</w:t>
      </w:r>
    </w:p>
    <w:p w14:paraId="045ACF3A">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rPr>
          <w:rFonts w:eastAsia="仿宋_GB2312"/>
          <w:color w:val="000000"/>
          <w:kern w:val="0"/>
          <w:sz w:val="32"/>
          <w:szCs w:val="32"/>
        </w:rPr>
      </w:pPr>
      <w:r>
        <w:rPr>
          <w:rFonts w:eastAsia="仿宋_GB2312"/>
          <w:color w:val="000000"/>
          <w:kern w:val="0"/>
          <w:sz w:val="32"/>
          <w:szCs w:val="32"/>
        </w:rPr>
        <w:t>1. 库房实际作业人员数量是否超过核定人数。</w:t>
      </w:r>
    </w:p>
    <w:p w14:paraId="3BAA4734">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rPr>
          <w:rFonts w:eastAsia="仿宋_GB2312"/>
          <w:color w:val="000000"/>
          <w:kern w:val="0"/>
          <w:sz w:val="32"/>
          <w:szCs w:val="32"/>
        </w:rPr>
      </w:pPr>
      <w:r>
        <w:rPr>
          <w:rFonts w:eastAsia="仿宋_GB2312"/>
          <w:color w:val="000000"/>
          <w:kern w:val="0"/>
          <w:sz w:val="32"/>
          <w:szCs w:val="32"/>
        </w:rPr>
        <w:t>2. 库房内、外部安全距离是否不足，防护屏障是否缺失或者不符合要求。</w:t>
      </w:r>
    </w:p>
    <w:p w14:paraId="68A6CB88">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rPr>
          <w:rFonts w:eastAsia="仿宋_GB2312"/>
          <w:color w:val="000000"/>
          <w:kern w:val="0"/>
          <w:sz w:val="32"/>
          <w:szCs w:val="32"/>
        </w:rPr>
      </w:pPr>
      <w:r>
        <w:rPr>
          <w:rFonts w:eastAsia="仿宋_GB2312"/>
          <w:color w:val="000000"/>
          <w:kern w:val="0"/>
          <w:sz w:val="32"/>
          <w:szCs w:val="32"/>
        </w:rPr>
        <w:t>3. 防静电、防火、防雷设备设施是否缺失或者失效。</w:t>
      </w:r>
    </w:p>
    <w:p w14:paraId="4AB9628B">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rPr>
          <w:rFonts w:eastAsia="仿宋_GB2312"/>
          <w:color w:val="000000"/>
          <w:kern w:val="0"/>
          <w:sz w:val="32"/>
          <w:szCs w:val="32"/>
        </w:rPr>
      </w:pPr>
      <w:r>
        <w:rPr>
          <w:rFonts w:eastAsia="仿宋_GB2312"/>
          <w:color w:val="000000"/>
          <w:kern w:val="0"/>
          <w:sz w:val="32"/>
          <w:szCs w:val="32"/>
        </w:rPr>
        <w:t>4. 是否擅自改变库房用途或者违规私搭乱建。</w:t>
      </w:r>
    </w:p>
    <w:p w14:paraId="2DCEDD20">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rPr>
          <w:rFonts w:eastAsia="仿宋_GB2312"/>
          <w:color w:val="000000"/>
          <w:kern w:val="0"/>
          <w:sz w:val="32"/>
          <w:szCs w:val="32"/>
        </w:rPr>
      </w:pPr>
      <w:r>
        <w:rPr>
          <w:rFonts w:eastAsia="仿宋_GB2312"/>
          <w:color w:val="000000"/>
          <w:kern w:val="0"/>
          <w:sz w:val="32"/>
          <w:szCs w:val="32"/>
        </w:rPr>
        <w:t>5. 工厂围墙是否缺失或者分区设置是否符合国家标准。</w:t>
      </w:r>
    </w:p>
    <w:p w14:paraId="21F44445">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rPr>
          <w:rFonts w:eastAsia="仿宋_GB2312"/>
          <w:color w:val="000000"/>
          <w:kern w:val="0"/>
          <w:sz w:val="32"/>
          <w:szCs w:val="32"/>
        </w:rPr>
      </w:pPr>
      <w:r>
        <w:rPr>
          <w:rFonts w:eastAsia="仿宋_GB2312"/>
          <w:color w:val="000000"/>
          <w:kern w:val="0"/>
          <w:sz w:val="32"/>
          <w:szCs w:val="32"/>
        </w:rPr>
        <w:t>6. 是否将氧化剂、还原剂同库储存、违规预混或者在同一工房内粉碎、称量。</w:t>
      </w:r>
    </w:p>
    <w:p w14:paraId="37BED483">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rPr>
          <w:rFonts w:eastAsia="仿宋_GB2312"/>
          <w:color w:val="000000"/>
          <w:kern w:val="0"/>
          <w:sz w:val="32"/>
          <w:szCs w:val="32"/>
        </w:rPr>
      </w:pPr>
      <w:r>
        <w:rPr>
          <w:rFonts w:eastAsia="仿宋_GB2312"/>
          <w:color w:val="000000"/>
          <w:kern w:val="0"/>
          <w:sz w:val="32"/>
          <w:szCs w:val="32"/>
        </w:rPr>
        <w:t>7. 是否存在出租、出借、转让、买卖、冒用或者伪造许可证情况。</w:t>
      </w:r>
    </w:p>
    <w:p w14:paraId="2750D30D">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rPr>
          <w:rFonts w:eastAsia="仿宋_GB2312"/>
          <w:color w:val="000000"/>
          <w:kern w:val="0"/>
          <w:sz w:val="32"/>
          <w:szCs w:val="32"/>
        </w:rPr>
      </w:pPr>
      <w:r>
        <w:rPr>
          <w:rFonts w:eastAsia="仿宋_GB2312"/>
          <w:color w:val="000000"/>
          <w:kern w:val="0"/>
          <w:sz w:val="32"/>
          <w:szCs w:val="32"/>
        </w:rPr>
        <w:t>8. 生产经营的产品种类、危险等级是否超许可范围或者生产使用违禁药物。</w:t>
      </w:r>
    </w:p>
    <w:p w14:paraId="39D871F6">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rPr>
          <w:rFonts w:eastAsia="仿宋_GB2312"/>
          <w:color w:val="000000"/>
          <w:kern w:val="0"/>
          <w:sz w:val="32"/>
          <w:szCs w:val="32"/>
        </w:rPr>
      </w:pPr>
      <w:r>
        <w:rPr>
          <w:rFonts w:eastAsia="仿宋_GB2312"/>
          <w:color w:val="000000"/>
          <w:kern w:val="0"/>
          <w:sz w:val="32"/>
          <w:szCs w:val="32"/>
        </w:rPr>
        <w:t>9. 烟花爆竹仓库是否存放其它爆炸物等危险物品或者是否生产经营违禁超标产品。</w:t>
      </w:r>
    </w:p>
    <w:p w14:paraId="52E1E961">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rPr>
          <w:rFonts w:eastAsia="仿宋_GB2312"/>
          <w:color w:val="000000"/>
          <w:kern w:val="0"/>
          <w:sz w:val="32"/>
          <w:szCs w:val="32"/>
        </w:rPr>
      </w:pPr>
      <w:r>
        <w:rPr>
          <w:rFonts w:eastAsia="仿宋_GB2312"/>
          <w:color w:val="000000"/>
          <w:kern w:val="0"/>
          <w:sz w:val="32"/>
          <w:szCs w:val="32"/>
        </w:rPr>
        <w:t>10. 零售点与居民居住场所是否设置在同一建筑物内或者是否在零售场所使用明火。</w:t>
      </w:r>
    </w:p>
    <w:p w14:paraId="5A6EAAAF">
      <w:pPr>
        <w:pStyle w:val="13"/>
        <w:keepNext w:val="0"/>
        <w:keepLines w:val="0"/>
        <w:pageBreakBefore w:val="0"/>
        <w:kinsoku/>
        <w:wordWrap/>
        <w:overflowPunct/>
        <w:topLinePunct w:val="0"/>
        <w:bidi w:val="0"/>
        <w:spacing w:line="560" w:lineRule="exact"/>
        <w:rPr>
          <w:rFonts w:eastAsia="方正小标宋简体"/>
          <w:color w:val="000000"/>
          <w:sz w:val="32"/>
          <w:szCs w:val="32"/>
        </w:rPr>
      </w:pPr>
    </w:p>
    <w:p w14:paraId="5F9F3CAB">
      <w:pPr>
        <w:keepNext w:val="0"/>
        <w:keepLines w:val="0"/>
        <w:pageBreakBefore w:val="0"/>
        <w:kinsoku/>
        <w:wordWrap/>
        <w:overflowPunct/>
        <w:topLinePunct w:val="0"/>
        <w:bidi w:val="0"/>
        <w:adjustRightInd w:val="0"/>
        <w:snapToGrid w:val="0"/>
        <w:spacing w:line="560" w:lineRule="exact"/>
        <w:ind w:firstLine="640" w:firstLineChars="200"/>
        <w:jc w:val="both"/>
        <w:rPr>
          <w:rFonts w:eastAsia="方正小标宋简体"/>
          <w:color w:val="000000"/>
          <w:sz w:val="32"/>
          <w:szCs w:val="32"/>
        </w:rPr>
      </w:pPr>
      <w:r>
        <w:rPr>
          <w:rFonts w:hint="eastAsia" w:ascii="黑体" w:hAnsi="黑体" w:eastAsia="黑体" w:cs="黑体"/>
          <w:color w:val="000000"/>
          <w:sz w:val="32"/>
          <w:szCs w:val="32"/>
          <w:lang w:eastAsia="zh-CN"/>
        </w:rPr>
        <w:t>三、</w:t>
      </w:r>
      <w:r>
        <w:rPr>
          <w:rFonts w:hint="eastAsia" w:ascii="黑体" w:hAnsi="黑体" w:eastAsia="黑体" w:cs="黑体"/>
          <w:color w:val="000000"/>
          <w:sz w:val="32"/>
          <w:szCs w:val="32"/>
        </w:rPr>
        <w:t>教育培训、安全评价检测检验机构、应急救援重点监督检查事项</w:t>
      </w:r>
    </w:p>
    <w:p w14:paraId="585AA0B8">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Times New Roman" w:hAnsi="Times New Roman" w:eastAsia="楷体_GB2312" w:cs="Times New Roman"/>
          <w:b w:val="0"/>
          <w:bCs w:val="0"/>
          <w:color w:val="000000"/>
          <w:kern w:val="2"/>
          <w:sz w:val="32"/>
          <w:szCs w:val="32"/>
          <w:lang w:val="en-US" w:eastAsia="zh-CN" w:bidi="ar-SA"/>
        </w:rPr>
      </w:pPr>
      <w:r>
        <w:rPr>
          <w:rFonts w:hint="eastAsia" w:ascii="Times New Roman" w:hAnsi="Times New Roman" w:eastAsia="楷体_GB2312" w:cs="Times New Roman"/>
          <w:b w:val="0"/>
          <w:bCs w:val="0"/>
          <w:color w:val="000000"/>
          <w:kern w:val="2"/>
          <w:sz w:val="32"/>
          <w:szCs w:val="32"/>
          <w:lang w:val="en-US" w:eastAsia="zh-CN" w:bidi="ar-SA"/>
        </w:rPr>
        <w:t>（一）教育培训重点检查内容</w:t>
      </w:r>
    </w:p>
    <w:p w14:paraId="3A2D38F6">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eastAsia="仿宋_GB2312"/>
          <w:color w:val="000000"/>
          <w:sz w:val="32"/>
          <w:szCs w:val="32"/>
        </w:rPr>
      </w:pPr>
      <w:r>
        <w:rPr>
          <w:rFonts w:hint="eastAsia" w:eastAsia="仿宋_GB2312"/>
          <w:color w:val="000000"/>
          <w:kern w:val="0"/>
          <w:sz w:val="32"/>
          <w:szCs w:val="32"/>
          <w:lang w:val="en-US" w:eastAsia="zh-CN"/>
        </w:rPr>
        <w:t>1.</w:t>
      </w:r>
      <w:r>
        <w:rPr>
          <w:rFonts w:eastAsia="楷体_GB2312"/>
          <w:b w:val="0"/>
          <w:bCs w:val="0"/>
          <w:color w:val="000000"/>
          <w:sz w:val="32"/>
          <w:szCs w:val="32"/>
        </w:rPr>
        <w:t>安全培训机构重点执法检查事项。</w:t>
      </w:r>
      <w:r>
        <w:rPr>
          <w:rFonts w:eastAsia="仿宋_GB2312"/>
          <w:color w:val="000000"/>
          <w:sz w:val="32"/>
          <w:szCs w:val="32"/>
        </w:rPr>
        <w:t>按照《安全培训机构基本条件规范》地方标准核查管理人员配备是否符合要求；核查安全生产培训管理制度、岗位职责、考核机制是否健全；核查专（兼）职师资力量是否充足、是否配备注册安全工程师；核查固定培训场地及实训设施是否满足要求；是否存在未按照培训大纲培训；是否擅自压缩培训学时、讲解习题代替理论培训；是否存在实操实训流于形式等情况；是否存在安全生产培训档案不健全、建档不规范、要素不齐全甚至档案造假等情况；是否存在与考试机构和考试点勾结，举办“包过班”，参与考生作弊，倒卖安全生产资格（合格）证书，收取高价培训费用等情况。</w:t>
      </w:r>
    </w:p>
    <w:p w14:paraId="00E0D882">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eastAsia="仿宋_GB2312"/>
          <w:color w:val="000000"/>
          <w:sz w:val="32"/>
          <w:szCs w:val="32"/>
        </w:rPr>
      </w:pPr>
      <w:r>
        <w:rPr>
          <w:rFonts w:hint="eastAsia" w:eastAsia="仿宋_GB2312"/>
          <w:color w:val="000000"/>
          <w:kern w:val="0"/>
          <w:sz w:val="32"/>
          <w:szCs w:val="32"/>
          <w:lang w:val="en-US" w:eastAsia="zh-CN"/>
        </w:rPr>
        <w:t>2.</w:t>
      </w:r>
      <w:r>
        <w:rPr>
          <w:rFonts w:eastAsia="楷体_GB2312"/>
          <w:b w:val="0"/>
          <w:bCs w:val="0"/>
          <w:color w:val="000000"/>
          <w:sz w:val="32"/>
          <w:szCs w:val="32"/>
        </w:rPr>
        <w:t>安全考试机构和考试点重点执法检查事项。</w:t>
      </w:r>
      <w:r>
        <w:rPr>
          <w:rFonts w:eastAsia="仿宋_GB2312"/>
          <w:color w:val="000000"/>
          <w:sz w:val="32"/>
          <w:szCs w:val="32"/>
        </w:rPr>
        <w:t>对照《河北省特种作业考试点建设项目审查验收标准》，核查是否存在考试管理制度不健全、理论和实操考试场地、设备不达标等不具备考试条件的情况；是否存在从事与所承担考试任务有关培训活动的情况；是否存在未严格按照考试计划组织实施考试的情况；是否存在完全以问答代替实操考试的情况；是否存在未安排监考、考评人员进行理论考试监考和实操考评，考务人员违反考试纪律的情况；是否存在未进行考试全过程录像，录像资料未建立档案，考试数据采集格式不规范、信息不准确，考试档案造假的情况。</w:t>
      </w:r>
    </w:p>
    <w:p w14:paraId="0DBABF68">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eastAsia="仿宋_GB2312"/>
          <w:color w:val="000000"/>
          <w:sz w:val="32"/>
          <w:szCs w:val="32"/>
        </w:rPr>
      </w:pPr>
      <w:r>
        <w:rPr>
          <w:rFonts w:hint="eastAsia" w:eastAsia="楷体_GB2312"/>
          <w:b w:val="0"/>
          <w:bCs w:val="0"/>
          <w:color w:val="000000"/>
          <w:sz w:val="32"/>
          <w:szCs w:val="32"/>
          <w:lang w:val="en-US" w:eastAsia="zh-CN"/>
        </w:rPr>
        <w:t>3.</w:t>
      </w:r>
      <w:r>
        <w:rPr>
          <w:rFonts w:eastAsia="楷体_GB2312"/>
          <w:b w:val="0"/>
          <w:bCs w:val="0"/>
          <w:color w:val="000000"/>
          <w:sz w:val="32"/>
          <w:szCs w:val="32"/>
        </w:rPr>
        <w:t>生产经营单位重点执法检查事项。</w:t>
      </w:r>
      <w:r>
        <w:rPr>
          <w:rFonts w:eastAsia="仿宋_GB2312"/>
          <w:color w:val="000000"/>
          <w:sz w:val="32"/>
          <w:szCs w:val="32"/>
        </w:rPr>
        <w:t>主要负责人是否制定本单位安全生产培训计划；主要负责人和安全管理人员是否具备必要的安全生产知识和管理能力并考核合格；特种作业人员是否存在无证上岗或持假证上岗的情况；其他从业人员“三级教育”是否严格落实有关培训大纲及规定；高危生产经营单位以及从事加工、制造业生产单位新入职其他从业人员是否按照有关培训大纲及考核规定，进行厂级、车间、班组“三级安全教育培训”；企业采用“四新”人员、离岗6个月以上人员、转岗人员、事故相关责任人员、实习人员、被派遣劳动者等是否进行专门的安全培训考试。</w:t>
      </w:r>
    </w:p>
    <w:p w14:paraId="57A716B3">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Times New Roman" w:hAnsi="Times New Roman" w:eastAsia="楷体_GB2312" w:cs="Times New Roman"/>
          <w:b w:val="0"/>
          <w:bCs w:val="0"/>
          <w:color w:val="000000"/>
          <w:kern w:val="2"/>
          <w:sz w:val="32"/>
          <w:szCs w:val="32"/>
          <w:lang w:val="en-US" w:eastAsia="zh-CN" w:bidi="ar-SA"/>
        </w:rPr>
      </w:pPr>
      <w:r>
        <w:rPr>
          <w:rFonts w:hint="eastAsia" w:ascii="Times New Roman" w:hAnsi="Times New Roman" w:eastAsia="楷体_GB2312" w:cs="Times New Roman"/>
          <w:b w:val="0"/>
          <w:bCs w:val="0"/>
          <w:color w:val="000000"/>
          <w:kern w:val="2"/>
          <w:sz w:val="32"/>
          <w:szCs w:val="32"/>
          <w:lang w:val="en-US" w:eastAsia="zh-CN" w:bidi="ar-SA"/>
        </w:rPr>
        <w:t>（二）安全评价检测检验机构重点检查内容</w:t>
      </w:r>
    </w:p>
    <w:p w14:paraId="0C67DC50">
      <w:pPr>
        <w:keepNext w:val="0"/>
        <w:keepLines w:val="0"/>
        <w:pageBreakBefore w:val="0"/>
        <w:widowControl w:val="0"/>
        <w:kinsoku/>
        <w:wordWrap/>
        <w:overflowPunct/>
        <w:topLinePunct w:val="0"/>
        <w:autoSpaceDE/>
        <w:autoSpaceDN/>
        <w:bidi w:val="0"/>
        <w:spacing w:line="560" w:lineRule="exact"/>
        <w:ind w:firstLine="640"/>
        <w:textAlignment w:val="auto"/>
        <w:rPr>
          <w:rFonts w:eastAsia="仿宋_GB2312"/>
          <w:color w:val="000000"/>
          <w:sz w:val="32"/>
          <w:szCs w:val="32"/>
        </w:rPr>
      </w:pPr>
      <w:r>
        <w:rPr>
          <w:rFonts w:hint="eastAsia" w:eastAsia="楷体_GB2312"/>
          <w:b w:val="0"/>
          <w:bCs w:val="0"/>
          <w:color w:val="000000"/>
          <w:sz w:val="32"/>
          <w:szCs w:val="32"/>
          <w:lang w:val="en-US" w:eastAsia="zh-CN"/>
        </w:rPr>
        <w:t>1.</w:t>
      </w:r>
      <w:r>
        <w:rPr>
          <w:rFonts w:eastAsia="楷体_GB2312"/>
          <w:b w:val="0"/>
          <w:bCs w:val="0"/>
          <w:color w:val="000000"/>
          <w:sz w:val="32"/>
          <w:szCs w:val="32"/>
        </w:rPr>
        <w:t>资质保持（省外机构除外）方面重点执法检查事项。</w:t>
      </w:r>
      <w:r>
        <w:rPr>
          <w:rFonts w:eastAsia="仿宋_GB2312"/>
          <w:color w:val="000000"/>
          <w:sz w:val="32"/>
          <w:szCs w:val="32"/>
        </w:rPr>
        <w:t>按照《安全评价检测检验机构管理办法》第六条、第七条要求，核查工作场所面积，专职评价师、专业技术人员人数及比例，评价师专业能力等情况是否符合规定。</w:t>
      </w:r>
    </w:p>
    <w:p w14:paraId="5BD5DC94">
      <w:pPr>
        <w:keepNext w:val="0"/>
        <w:keepLines w:val="0"/>
        <w:pageBreakBefore w:val="0"/>
        <w:widowControl w:val="0"/>
        <w:kinsoku/>
        <w:wordWrap/>
        <w:overflowPunct/>
        <w:topLinePunct w:val="0"/>
        <w:autoSpaceDE/>
        <w:autoSpaceDN/>
        <w:bidi w:val="0"/>
        <w:spacing w:line="560" w:lineRule="exact"/>
        <w:ind w:firstLine="640"/>
        <w:textAlignment w:val="auto"/>
        <w:rPr>
          <w:rFonts w:eastAsia="仿宋_GB2312"/>
          <w:color w:val="000000"/>
          <w:sz w:val="32"/>
          <w:szCs w:val="32"/>
        </w:rPr>
      </w:pPr>
      <w:r>
        <w:rPr>
          <w:rFonts w:hint="eastAsia" w:eastAsia="楷体_GB2312"/>
          <w:b w:val="0"/>
          <w:bCs w:val="0"/>
          <w:color w:val="000000"/>
          <w:sz w:val="32"/>
          <w:szCs w:val="32"/>
          <w:lang w:val="en-US" w:eastAsia="zh-CN"/>
        </w:rPr>
        <w:t>2.</w:t>
      </w:r>
      <w:r>
        <w:rPr>
          <w:rFonts w:eastAsia="楷体_GB2312"/>
          <w:b w:val="0"/>
          <w:bCs w:val="0"/>
          <w:color w:val="000000"/>
          <w:sz w:val="32"/>
          <w:szCs w:val="32"/>
        </w:rPr>
        <w:t>机构管理方面重点执法检查事项。</w:t>
      </w:r>
      <w:r>
        <w:rPr>
          <w:rFonts w:eastAsia="仿宋_GB2312"/>
          <w:color w:val="000000"/>
          <w:sz w:val="32"/>
          <w:szCs w:val="32"/>
        </w:rPr>
        <w:t>是否存在超资质范围进行安全评价或安全生产检测检验活动和转让出（租）借资格证书的情况；是否存在转包评价和检测检验项目的情况；机构网站是否能正常运行，是否公开机构信息、公示技术服务收费标准；是否与委托方签订技术服务合同，技术服务合同是否明确服务对象、范围、权利、义务和责任的；是否在开展现场技术服务前七个工作日内，书面告知项目实施地资质认可机关；机构开展技术服务时，是否如实记录过程控制、现场勘验和检测检验的情况，并与现场图像影像等证明资料一并及时归档；是否按规定公开安全评价报告、安全生产检测检验报告相关信息及现场勘验图像影像资料；是否存在违反法规标准规定更改或者简化安全评价、检测检验程序和相关内容的情况；是否存在不按照有关法律、法规、规章和最新的国家标准、行业标准、地方标准从事技术服务活动的情况；机构名称、注册地址、实验室条件、法定代表人、专职技术负责人、授权签字人发生变化之日起三十日内是否向原资质认可机关提出变更申请。</w:t>
      </w:r>
    </w:p>
    <w:p w14:paraId="30A13E01">
      <w:pPr>
        <w:keepNext w:val="0"/>
        <w:keepLines w:val="0"/>
        <w:pageBreakBefore w:val="0"/>
        <w:widowControl w:val="0"/>
        <w:kinsoku/>
        <w:wordWrap/>
        <w:overflowPunct/>
        <w:topLinePunct w:val="0"/>
        <w:autoSpaceDE/>
        <w:autoSpaceDN/>
        <w:bidi w:val="0"/>
        <w:spacing w:line="560" w:lineRule="exact"/>
        <w:ind w:firstLine="640"/>
        <w:textAlignment w:val="auto"/>
        <w:rPr>
          <w:rFonts w:eastAsia="仿宋_GB2312"/>
          <w:color w:val="000000"/>
          <w:sz w:val="32"/>
          <w:szCs w:val="32"/>
        </w:rPr>
      </w:pPr>
      <w:r>
        <w:rPr>
          <w:rFonts w:hint="eastAsia" w:eastAsia="楷体_GB2312"/>
          <w:b w:val="0"/>
          <w:bCs w:val="0"/>
          <w:color w:val="000000"/>
          <w:sz w:val="32"/>
          <w:szCs w:val="32"/>
          <w:lang w:val="en-US" w:eastAsia="zh-CN"/>
        </w:rPr>
        <w:t>3.</w:t>
      </w:r>
      <w:r>
        <w:rPr>
          <w:rFonts w:eastAsia="楷体_GB2312"/>
          <w:b w:val="0"/>
          <w:bCs w:val="0"/>
          <w:color w:val="000000"/>
          <w:sz w:val="32"/>
          <w:szCs w:val="32"/>
        </w:rPr>
        <w:t>人员执业方面重点执法检查事项。</w:t>
      </w:r>
      <w:r>
        <w:rPr>
          <w:rFonts w:eastAsia="仿宋_GB2312"/>
          <w:color w:val="000000"/>
          <w:sz w:val="32"/>
          <w:szCs w:val="32"/>
        </w:rPr>
        <w:t>是否存在专职安全评价师、专业技术人员同时在两个以上安全评价检测检验机构从业的情况；是否存在冒用他人名义或者允许他人冒用本人名义在安全评价、检测检验报告和原始记录中签名的情况；安全评价项目组组长是否具有与业务相关的二级以上安全评价师资格，并在本行业领域工作三年以上的；项目组组成人员配备是否符合安全评价项目专职安全评价师专业能力配备标准；安全评价项目组组长及负责勘验人员是否不到现场实际地点开展勘验等有关工作；承担现场检测检验的人员是否不到现场实际地点开展设备检测检验等有关工作。</w:t>
      </w:r>
    </w:p>
    <w:p w14:paraId="20D579FC">
      <w:pPr>
        <w:keepNext w:val="0"/>
        <w:keepLines w:val="0"/>
        <w:pageBreakBefore w:val="0"/>
        <w:widowControl w:val="0"/>
        <w:kinsoku/>
        <w:wordWrap/>
        <w:overflowPunct/>
        <w:topLinePunct w:val="0"/>
        <w:autoSpaceDE/>
        <w:autoSpaceDN/>
        <w:bidi w:val="0"/>
        <w:spacing w:line="560" w:lineRule="exact"/>
        <w:ind w:firstLine="640"/>
        <w:jc w:val="left"/>
        <w:textAlignment w:val="auto"/>
        <w:rPr>
          <w:rFonts w:hint="eastAsia" w:eastAsia="仿宋_GB2312"/>
          <w:color w:val="000000"/>
          <w:sz w:val="32"/>
          <w:szCs w:val="32"/>
        </w:rPr>
      </w:pPr>
      <w:r>
        <w:rPr>
          <w:rFonts w:hint="eastAsia" w:eastAsia="楷体_GB2312"/>
          <w:b w:val="0"/>
          <w:bCs w:val="0"/>
          <w:color w:val="000000"/>
          <w:sz w:val="32"/>
          <w:szCs w:val="32"/>
          <w:lang w:val="en-US" w:eastAsia="zh-CN"/>
        </w:rPr>
        <w:t>4.</w:t>
      </w:r>
      <w:r>
        <w:rPr>
          <w:rFonts w:eastAsia="楷体_GB2312"/>
          <w:b w:val="0"/>
          <w:bCs w:val="0"/>
          <w:color w:val="000000"/>
          <w:sz w:val="32"/>
          <w:szCs w:val="32"/>
        </w:rPr>
        <w:t>技术报告方面重点执法检查事项。</w:t>
      </w:r>
      <w:r>
        <w:rPr>
          <w:rFonts w:hint="eastAsia" w:eastAsia="仿宋_GB2312"/>
          <w:color w:val="000000"/>
          <w:sz w:val="32"/>
          <w:szCs w:val="32"/>
        </w:rPr>
        <w:t>安全评价报告是否存在法规标准引用错误、关键危险有害因素漏项、重大危险源辨识错误、对策措施建议与存在问题严重不符等重大疏漏，但尚未造成重大损失的情况；安全现状评价或验收评价报告是否存在企业布局、工艺参数、周边环境与评价期间实际情况不符，影响评价结论的情况；是否存在重要区域、关键设备设施、主要物料和建(构)筑物、主要安全设施、重要的公辅设施、改(扩)建情况等遗漏或描写错误，影响评价结论的情况；是否存在法律、法规、标准主要条款漏项、错误或使用已废止的法律、法规、标准，影响评价结论的情况；是否存在国家明令限制类、淘汰类工艺或设备未辨识或辨识有误，导致评价结论失实的情况；是否存在未进行危险化学品重大危险源辨识及分级或出现严重偏差，影响评价结论的情况；是否存在不符合国家和行业强制性规定的安全生产条件项，评价报告漏项未做评价的情况；是否存在行业重大生产安全事故隐患判定标准中列举的重大事故隐患，评价报告漏项未做评价的情况；是否存在对策措施建议与被评价项目存在问题不符的情况；是否存在井工煤矿采掘工艺、露天煤矿采剥工艺未调查清楚的情况；是否存在金属非金属矿山相关文件和规程要求的主要定量计算分析缺失的情况；是否存在故意伪造的情况；安全评价报告是否存在周边环境、主要建(构)筑物、工艺、装置、设备设施等重要内容上弄虚作假，导致与评价期间实际情况不符，影响评价结论的情况；是否存在隐瞒生产经营单位重大事故隐患及整改落实情况、主要灾害等级等情况，影响评价结论的情况；是否存在伪造、篡改生产经营单位相关信息、数据、技术报告或者结论等内容，影响评价结论的情况；是否存在故意采用存疑的第三方证明材料、监测检验报告，影响评价结论的情况；是否存在有其他弄虚作假行为，影响评价结论的情况。安全生产检测检验报告是否存在法规标准引用错误、关键项目漏检、结论不明确等重大疏漏，但尚未造成重大损失的情况</w:t>
      </w:r>
      <w:r>
        <w:rPr>
          <w:rFonts w:eastAsia="仿宋_GB2312"/>
          <w:color w:val="000000"/>
          <w:sz w:val="32"/>
          <w:szCs w:val="32"/>
        </w:rPr>
        <w:t>。</w:t>
      </w:r>
    </w:p>
    <w:p w14:paraId="767B6579">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Times New Roman" w:hAnsi="Times New Roman" w:eastAsia="楷体_GB2312" w:cs="Times New Roman"/>
          <w:b w:val="0"/>
          <w:bCs w:val="0"/>
          <w:color w:val="000000"/>
          <w:kern w:val="2"/>
          <w:sz w:val="32"/>
          <w:szCs w:val="32"/>
          <w:lang w:val="en-US" w:eastAsia="zh-CN" w:bidi="ar-SA"/>
        </w:rPr>
      </w:pPr>
      <w:r>
        <w:rPr>
          <w:rFonts w:hint="eastAsia" w:ascii="Times New Roman" w:hAnsi="Times New Roman" w:eastAsia="楷体_GB2312" w:cs="Times New Roman"/>
          <w:b w:val="0"/>
          <w:bCs w:val="0"/>
          <w:color w:val="000000"/>
          <w:kern w:val="2"/>
          <w:sz w:val="32"/>
          <w:szCs w:val="32"/>
          <w:lang w:val="en-US" w:eastAsia="zh-CN" w:bidi="ar-SA"/>
        </w:rPr>
        <w:t>（三）应急救援重点检查内容</w:t>
      </w:r>
    </w:p>
    <w:p w14:paraId="2615E5A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color w:val="000000"/>
          <w:sz w:val="32"/>
          <w:szCs w:val="32"/>
        </w:rPr>
      </w:pPr>
      <w:r>
        <w:rPr>
          <w:rFonts w:hint="eastAsia" w:eastAsia="楷体_GB2312"/>
          <w:b w:val="0"/>
          <w:bCs w:val="0"/>
          <w:color w:val="000000"/>
          <w:sz w:val="32"/>
          <w:szCs w:val="32"/>
          <w:lang w:val="en-US" w:eastAsia="zh-CN"/>
        </w:rPr>
        <w:t>1.</w:t>
      </w:r>
      <w:r>
        <w:rPr>
          <w:rFonts w:eastAsia="楷体_GB2312"/>
          <w:b w:val="0"/>
          <w:bCs w:val="0"/>
          <w:color w:val="000000"/>
          <w:sz w:val="32"/>
          <w:szCs w:val="32"/>
        </w:rPr>
        <w:t>应急预案重点执法检查事项。主</w:t>
      </w:r>
      <w:r>
        <w:rPr>
          <w:rFonts w:hint="eastAsia" w:ascii="仿宋_GB2312" w:hAnsi="仿宋_GB2312" w:eastAsia="仿宋_GB2312" w:cs="仿宋_GB2312"/>
          <w:b w:val="0"/>
          <w:bCs w:val="0"/>
          <w:color w:val="000000"/>
          <w:sz w:val="32"/>
          <w:szCs w:val="32"/>
        </w:rPr>
        <w:t>要负责人是否履行组</w:t>
      </w:r>
      <w:r>
        <w:rPr>
          <w:rFonts w:eastAsia="仿宋_GB2312"/>
          <w:color w:val="000000"/>
          <w:sz w:val="32"/>
          <w:szCs w:val="32"/>
        </w:rPr>
        <w:t>织编制和实施本单位应急预案职责，各分管负责人是否按照职责分工落实应急预案规定的职责；预案编制前是否开展风险评估和应急资源调查，预案发布前是否进行论证或评审，应急预案是否按要求向有关部门备案，是否定期开展应急预案评估、修订；应急预案中人员的职责分工，应急程序和处置措施与本企业应急能力是否适应；企业应急预案体系之间，以及与地方政府及其部门、应急救援队伍和涉及的其他单位应急预案是否相衔接。</w:t>
      </w:r>
    </w:p>
    <w:p w14:paraId="044DEA4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color w:val="000000"/>
          <w:sz w:val="32"/>
          <w:szCs w:val="32"/>
        </w:rPr>
      </w:pPr>
      <w:r>
        <w:rPr>
          <w:rFonts w:hint="eastAsia" w:eastAsia="楷体_GB2312"/>
          <w:b w:val="0"/>
          <w:bCs w:val="0"/>
          <w:color w:val="000000"/>
          <w:sz w:val="32"/>
          <w:szCs w:val="32"/>
          <w:lang w:val="en-US" w:eastAsia="zh-CN"/>
        </w:rPr>
        <w:t>2.</w:t>
      </w:r>
      <w:r>
        <w:rPr>
          <w:rFonts w:eastAsia="楷体_GB2312"/>
          <w:b w:val="0"/>
          <w:bCs w:val="0"/>
          <w:color w:val="000000"/>
          <w:sz w:val="32"/>
          <w:szCs w:val="32"/>
        </w:rPr>
        <w:t>应急演练重点执法检查事项。</w:t>
      </w:r>
      <w:r>
        <w:rPr>
          <w:rFonts w:eastAsia="仿宋_GB2312"/>
          <w:color w:val="000000"/>
          <w:sz w:val="32"/>
          <w:szCs w:val="32"/>
        </w:rPr>
        <w:t>是否按规定制定年度应急演练计划；综合应急预案、专项应急预案是否按规定每年至少演练一次，现场处置方案每半年至少演练一次；是否对应急演练进行书面评估总结。</w:t>
      </w:r>
    </w:p>
    <w:p w14:paraId="6BEC0AC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color w:val="000000"/>
          <w:sz w:val="32"/>
          <w:szCs w:val="32"/>
        </w:rPr>
      </w:pPr>
      <w:r>
        <w:rPr>
          <w:rFonts w:hint="eastAsia" w:eastAsia="楷体_GB2312"/>
          <w:b w:val="0"/>
          <w:bCs w:val="0"/>
          <w:color w:val="000000"/>
          <w:sz w:val="32"/>
          <w:szCs w:val="32"/>
          <w:lang w:val="en-US" w:eastAsia="zh-CN"/>
        </w:rPr>
        <w:t>3.</w:t>
      </w:r>
      <w:r>
        <w:rPr>
          <w:rFonts w:eastAsia="楷体_GB2312"/>
          <w:b w:val="0"/>
          <w:bCs w:val="0"/>
          <w:color w:val="000000"/>
          <w:sz w:val="32"/>
          <w:szCs w:val="32"/>
        </w:rPr>
        <w:t>应急救援队伍重点执法检查事项。</w:t>
      </w:r>
      <w:r>
        <w:rPr>
          <w:rFonts w:eastAsia="仿宋_GB2312"/>
          <w:color w:val="000000"/>
          <w:sz w:val="32"/>
          <w:szCs w:val="32"/>
        </w:rPr>
        <w:t>是否按规定建立专（兼）职应急救援队伍；因生产规模较小未建立应急救援队伍的，是否与邻近救援队伍签订救援协议。</w:t>
      </w:r>
    </w:p>
    <w:p w14:paraId="4E26AE5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_GB2312"/>
          <w:color w:val="000000"/>
          <w:sz w:val="32"/>
          <w:szCs w:val="32"/>
        </w:rPr>
      </w:pPr>
      <w:r>
        <w:rPr>
          <w:rFonts w:hint="eastAsia" w:eastAsia="楷体_GB2312"/>
          <w:b w:val="0"/>
          <w:bCs w:val="0"/>
          <w:color w:val="000000"/>
          <w:sz w:val="32"/>
          <w:szCs w:val="32"/>
          <w:lang w:val="en-US" w:eastAsia="zh-CN"/>
        </w:rPr>
        <w:t>4.</w:t>
      </w:r>
      <w:r>
        <w:rPr>
          <w:rFonts w:eastAsia="楷体_GB2312"/>
          <w:b w:val="0"/>
          <w:bCs w:val="0"/>
          <w:color w:val="000000"/>
          <w:sz w:val="32"/>
          <w:szCs w:val="32"/>
        </w:rPr>
        <w:t>应急救援装备及物资管理重点执法检查事项。</w:t>
      </w:r>
      <w:r>
        <w:rPr>
          <w:rFonts w:eastAsia="仿宋_GB2312"/>
          <w:color w:val="000000"/>
          <w:sz w:val="32"/>
          <w:szCs w:val="32"/>
        </w:rPr>
        <w:t>是否按规定配备应急救援器材、设备和物资；是否建立应急救援器材台账和应急救援物资储备台账，台账是否与实物相符；应急救援器材是否定期检测，是否建立维护保养记录，各种应急救援设备、设施是否处于良好状态；重点岗位工作人员是否会正确使用应急救援器材等。</w:t>
      </w:r>
    </w:p>
    <w:p w14:paraId="519FF20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eastAsia="仿宋_GB2312"/>
          <w:color w:val="000000"/>
          <w:sz w:val="32"/>
          <w:szCs w:val="32"/>
        </w:rPr>
      </w:pPr>
      <w:r>
        <w:rPr>
          <w:rFonts w:hint="eastAsia" w:eastAsia="楷体_GB2312"/>
          <w:b w:val="0"/>
          <w:bCs w:val="0"/>
          <w:color w:val="000000"/>
          <w:sz w:val="32"/>
          <w:szCs w:val="32"/>
          <w:lang w:val="en-US" w:eastAsia="zh-CN"/>
        </w:rPr>
        <w:t>5.</w:t>
      </w:r>
      <w:r>
        <w:rPr>
          <w:rFonts w:eastAsia="楷体_GB2312"/>
          <w:b w:val="0"/>
          <w:bCs w:val="0"/>
          <w:color w:val="000000"/>
          <w:sz w:val="32"/>
          <w:szCs w:val="32"/>
        </w:rPr>
        <w:t>应急救援开展重点执法检查事项。</w:t>
      </w:r>
      <w:r>
        <w:rPr>
          <w:rFonts w:eastAsia="仿宋_GB2312"/>
          <w:color w:val="000000"/>
          <w:sz w:val="32"/>
          <w:szCs w:val="32"/>
        </w:rPr>
        <w:t>事故风险可能影响周边单位、人员的，是否将事故风险的性质、影响范围和应急防范措施告知了周边单位和人员；在本单位发生生产安全事故后，是否立即采取相应的应急救援措施，主要负责人是否立即组织抢救。</w:t>
      </w:r>
    </w:p>
    <w:p w14:paraId="61B0BBFF">
      <w:pPr>
        <w:keepNext w:val="0"/>
        <w:keepLines w:val="0"/>
        <w:pageBreakBefore w:val="0"/>
        <w:kinsoku/>
        <w:wordWrap/>
        <w:overflowPunct/>
        <w:topLinePunct w:val="0"/>
        <w:bidi w:val="0"/>
        <w:adjustRightInd w:val="0"/>
        <w:snapToGrid w:val="0"/>
        <w:spacing w:line="560" w:lineRule="exact"/>
        <w:jc w:val="center"/>
        <w:rPr>
          <w:rFonts w:eastAsia="方正小标宋简体"/>
          <w:color w:val="000000"/>
          <w:sz w:val="44"/>
          <w:szCs w:val="44"/>
        </w:rPr>
      </w:pPr>
    </w:p>
    <w:p w14:paraId="4A3632C2">
      <w:pPr>
        <w:pStyle w:val="2"/>
        <w:keepNext w:val="0"/>
        <w:keepLines w:val="0"/>
        <w:pageBreakBefore w:val="0"/>
        <w:kinsoku/>
        <w:wordWrap/>
        <w:overflowPunct/>
        <w:topLinePunct w:val="0"/>
        <w:bidi w:val="0"/>
        <w:spacing w:line="560" w:lineRule="exact"/>
        <w:ind w:firstLine="624"/>
        <w:rPr>
          <w:rFonts w:hint="eastAsia" w:ascii="Times New Roman" w:hAnsi="Times New Roman" w:eastAsia="仿宋_GB2312"/>
          <w:spacing w:val="-4"/>
          <w:kern w:val="0"/>
          <w:sz w:val="32"/>
          <w:szCs w:val="32"/>
        </w:rPr>
      </w:pPr>
    </w:p>
    <w:p w14:paraId="4E15329E">
      <w:pPr>
        <w:pStyle w:val="2"/>
        <w:keepNext w:val="0"/>
        <w:keepLines w:val="0"/>
        <w:pageBreakBefore w:val="0"/>
        <w:kinsoku/>
        <w:wordWrap/>
        <w:overflowPunct/>
        <w:topLinePunct w:val="0"/>
        <w:bidi w:val="0"/>
        <w:spacing w:line="560" w:lineRule="exact"/>
        <w:ind w:firstLine="624"/>
        <w:rPr>
          <w:rFonts w:hint="eastAsia" w:ascii="Times New Roman" w:hAnsi="Times New Roman" w:eastAsia="仿宋_GB2312"/>
          <w:spacing w:val="-4"/>
          <w:kern w:val="0"/>
          <w:sz w:val="32"/>
          <w:szCs w:val="32"/>
        </w:rPr>
      </w:pPr>
    </w:p>
    <w:p w14:paraId="745EDD27">
      <w:pPr>
        <w:keepNext w:val="0"/>
        <w:keepLines w:val="0"/>
        <w:pageBreakBefore w:val="0"/>
        <w:kinsoku/>
        <w:wordWrap/>
        <w:overflowPunct/>
        <w:topLinePunct w:val="0"/>
        <w:bidi w:val="0"/>
        <w:spacing w:line="560" w:lineRule="exact"/>
        <w:jc w:val="center"/>
        <w:rPr>
          <w:rFonts w:eastAsia="方正小标宋简体"/>
          <w:color w:val="000000"/>
          <w:sz w:val="44"/>
          <w:szCs w:val="44"/>
        </w:rPr>
      </w:pPr>
    </w:p>
    <w:p w14:paraId="68F39D6E">
      <w:pPr>
        <w:pStyle w:val="2"/>
        <w:keepNext w:val="0"/>
        <w:keepLines w:val="0"/>
        <w:pageBreakBefore w:val="0"/>
        <w:kinsoku/>
        <w:wordWrap/>
        <w:overflowPunct/>
        <w:topLinePunct w:val="0"/>
        <w:bidi w:val="0"/>
        <w:spacing w:line="560" w:lineRule="exact"/>
        <w:ind w:left="0" w:leftChars="0" w:firstLine="0" w:firstLineChars="0"/>
        <w:rPr>
          <w:rFonts w:ascii="Times New Roman" w:hAnsi="Times New Roman" w:eastAsia="仿宋"/>
          <w:color w:val="000000"/>
          <w:sz w:val="32"/>
          <w:szCs w:val="32"/>
        </w:rPr>
        <w:sectPr>
          <w:pgSz w:w="11906" w:h="16838"/>
          <w:pgMar w:top="1985" w:right="1418" w:bottom="1814" w:left="1418" w:header="851" w:footer="1361" w:gutter="0"/>
          <w:pgNumType w:fmt="decimal"/>
          <w:cols w:space="720" w:num="1"/>
          <w:docGrid w:type="lines" w:linePitch="312" w:charSpace="0"/>
        </w:sectPr>
      </w:pPr>
    </w:p>
    <w:p w14:paraId="6E317BF7">
      <w:pPr>
        <w:keepNext w:val="0"/>
        <w:keepLines w:val="0"/>
        <w:pageBreakBefore w:val="0"/>
        <w:kinsoku/>
        <w:wordWrap/>
        <w:overflowPunct/>
        <w:topLinePunct w:val="0"/>
        <w:bidi w:val="0"/>
        <w:spacing w:line="560" w:lineRule="exact"/>
        <w:textAlignment w:val="auto"/>
        <w:rPr>
          <w:rFonts w:hint="default" w:ascii="Times New Roman" w:hAnsi="Times New Roman" w:eastAsia="仿宋_GB2312" w:cs="Times New Roman"/>
          <w:color w:val="auto"/>
          <w:kern w:val="0"/>
          <w:sz w:val="32"/>
          <w:szCs w:val="32"/>
        </w:rPr>
      </w:pPr>
      <w:r>
        <w:rPr>
          <w:rFonts w:hint="default" w:ascii="Times New Roman" w:hAnsi="Times New Roman" w:eastAsia="黑体" w:cs="Times New Roman"/>
          <w:color w:val="auto"/>
          <w:sz w:val="32"/>
          <w:szCs w:val="32"/>
        </w:rPr>
        <w:t>附件4</w:t>
      </w:r>
    </w:p>
    <w:p w14:paraId="2A568705">
      <w:pPr>
        <w:keepNext w:val="0"/>
        <w:keepLines w:val="0"/>
        <w:pageBreakBefore w:val="0"/>
        <w:kinsoku/>
        <w:wordWrap/>
        <w:overflowPunct/>
        <w:topLinePunct w:val="0"/>
        <w:bidi w:val="0"/>
        <w:spacing w:line="560" w:lineRule="exact"/>
        <w:ind w:left="0"/>
        <w:jc w:val="center"/>
        <w:textAlignment w:val="auto"/>
        <w:rPr>
          <w:rFonts w:hint="default" w:ascii="Times New Roman" w:hAnsi="Times New Roman" w:cs="Times New Roman"/>
          <w:b/>
          <w:bCs/>
          <w:color w:val="auto"/>
          <w:sz w:val="36"/>
          <w:szCs w:val="36"/>
        </w:rPr>
      </w:pPr>
    </w:p>
    <w:p w14:paraId="08D9EEF5">
      <w:pPr>
        <w:keepNext w:val="0"/>
        <w:keepLines w:val="0"/>
        <w:pageBreakBefore w:val="0"/>
        <w:kinsoku/>
        <w:wordWrap/>
        <w:overflowPunct/>
        <w:topLinePunct w:val="0"/>
        <w:bidi w:val="0"/>
        <w:adjustRightInd w:val="0"/>
        <w:snapToGrid w:val="0"/>
        <w:spacing w:line="560" w:lineRule="exact"/>
        <w:ind w:left="0"/>
        <w:jc w:val="center"/>
        <w:textAlignment w:val="auto"/>
        <w:rPr>
          <w:rFonts w:hint="default" w:ascii="Times New Roman" w:hAnsi="Times New Roman" w:eastAsia="小标宋" w:cs="Times New Roman"/>
          <w:bCs/>
          <w:color w:val="auto"/>
          <w:sz w:val="44"/>
          <w:szCs w:val="32"/>
        </w:rPr>
      </w:pPr>
      <w:r>
        <w:rPr>
          <w:rFonts w:hint="default" w:ascii="Times New Roman" w:hAnsi="Times New Roman" w:eastAsia="小标宋" w:cs="Times New Roman"/>
          <w:bCs/>
          <w:color w:val="auto"/>
          <w:sz w:val="44"/>
          <w:szCs w:val="32"/>
        </w:rPr>
        <w:t>202</w:t>
      </w:r>
      <w:r>
        <w:rPr>
          <w:rFonts w:hint="eastAsia" w:ascii="Times New Roman" w:hAnsi="Times New Roman" w:eastAsia="小标宋" w:cs="Times New Roman"/>
          <w:bCs/>
          <w:color w:val="auto"/>
          <w:sz w:val="44"/>
          <w:szCs w:val="32"/>
          <w:lang w:val="en-US" w:eastAsia="zh-CN"/>
        </w:rPr>
        <w:t>5</w:t>
      </w:r>
      <w:r>
        <w:rPr>
          <w:rFonts w:hint="default" w:ascii="Times New Roman" w:hAnsi="Times New Roman" w:eastAsia="小标宋" w:cs="Times New Roman"/>
          <w:bCs/>
          <w:color w:val="auto"/>
          <w:sz w:val="44"/>
          <w:szCs w:val="32"/>
        </w:rPr>
        <w:t>年度各科室（大队）监督检查计划分配表</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4350"/>
        <w:gridCol w:w="1470"/>
        <w:gridCol w:w="1501"/>
        <w:gridCol w:w="1124"/>
      </w:tblGrid>
      <w:tr w14:paraId="4254E6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7" w:hRule="atLeast"/>
          <w:jc w:val="center"/>
        </w:trPr>
        <w:tc>
          <w:tcPr>
            <w:tcW w:w="704" w:type="dxa"/>
            <w:noWrap w:val="0"/>
            <w:vAlign w:val="center"/>
          </w:tcPr>
          <w:p w14:paraId="0A0B8A8E">
            <w:pPr>
              <w:keepNext w:val="0"/>
              <w:keepLines w:val="0"/>
              <w:pageBreakBefore w:val="0"/>
              <w:kinsoku/>
              <w:wordWrap/>
              <w:overflowPunct/>
              <w:topLinePunct w:val="0"/>
              <w:bidi w:val="0"/>
              <w:spacing w:line="560" w:lineRule="exact"/>
              <w:ind w:left="0"/>
              <w:jc w:val="center"/>
              <w:textAlignment w:val="auto"/>
              <w:rPr>
                <w:rFonts w:hint="default" w:ascii="Times New Roman" w:hAnsi="Times New Roman" w:eastAsia="黑体" w:cs="Times New Roman"/>
                <w:color w:val="auto"/>
                <w:sz w:val="28"/>
                <w:szCs w:val="28"/>
              </w:rPr>
            </w:pPr>
            <w:r>
              <w:rPr>
                <w:rFonts w:hint="default" w:ascii="Times New Roman" w:hAnsi="Times New Roman" w:eastAsia="黑体" w:cs="Times New Roman"/>
                <w:color w:val="auto"/>
                <w:sz w:val="28"/>
                <w:szCs w:val="28"/>
              </w:rPr>
              <w:t>序号</w:t>
            </w:r>
          </w:p>
        </w:tc>
        <w:tc>
          <w:tcPr>
            <w:tcW w:w="4350" w:type="dxa"/>
            <w:noWrap w:val="0"/>
            <w:vAlign w:val="center"/>
          </w:tcPr>
          <w:p w14:paraId="652E6605">
            <w:pPr>
              <w:keepNext w:val="0"/>
              <w:keepLines w:val="0"/>
              <w:pageBreakBefore w:val="0"/>
              <w:kinsoku/>
              <w:wordWrap/>
              <w:overflowPunct/>
              <w:topLinePunct w:val="0"/>
              <w:bidi w:val="0"/>
              <w:spacing w:line="560" w:lineRule="exact"/>
              <w:ind w:left="0"/>
              <w:jc w:val="center"/>
              <w:textAlignment w:val="auto"/>
              <w:rPr>
                <w:rFonts w:hint="default" w:ascii="Times New Roman" w:hAnsi="Times New Roman" w:eastAsia="黑体" w:cs="Times New Roman"/>
                <w:color w:val="auto"/>
                <w:sz w:val="28"/>
                <w:szCs w:val="28"/>
              </w:rPr>
            </w:pPr>
            <w:r>
              <w:rPr>
                <w:rFonts w:hint="default" w:ascii="Times New Roman" w:hAnsi="Times New Roman" w:eastAsia="黑体" w:cs="Times New Roman"/>
                <w:color w:val="auto"/>
                <w:sz w:val="28"/>
                <w:szCs w:val="28"/>
              </w:rPr>
              <w:t>科室（大队）名称</w:t>
            </w:r>
          </w:p>
        </w:tc>
        <w:tc>
          <w:tcPr>
            <w:tcW w:w="1470" w:type="dxa"/>
            <w:noWrap w:val="0"/>
            <w:vAlign w:val="center"/>
          </w:tcPr>
          <w:p w14:paraId="6CBE099A">
            <w:pPr>
              <w:keepNext w:val="0"/>
              <w:keepLines w:val="0"/>
              <w:pageBreakBefore w:val="0"/>
              <w:kinsoku/>
              <w:wordWrap/>
              <w:overflowPunct/>
              <w:topLinePunct w:val="0"/>
              <w:bidi w:val="0"/>
              <w:spacing w:line="560" w:lineRule="exact"/>
              <w:ind w:left="0"/>
              <w:jc w:val="center"/>
              <w:textAlignment w:val="auto"/>
              <w:rPr>
                <w:rFonts w:hint="default" w:ascii="Times New Roman" w:hAnsi="Times New Roman" w:eastAsia="黑体" w:cs="Times New Roman"/>
                <w:color w:val="auto"/>
                <w:sz w:val="28"/>
                <w:szCs w:val="28"/>
              </w:rPr>
            </w:pPr>
            <w:r>
              <w:rPr>
                <w:rFonts w:hint="default" w:ascii="Times New Roman" w:hAnsi="Times New Roman" w:eastAsia="黑体" w:cs="Times New Roman"/>
                <w:color w:val="auto"/>
                <w:sz w:val="28"/>
                <w:szCs w:val="28"/>
              </w:rPr>
              <w:t>重点检查</w:t>
            </w:r>
          </w:p>
          <w:p w14:paraId="73E893C2">
            <w:pPr>
              <w:keepNext w:val="0"/>
              <w:keepLines w:val="0"/>
              <w:pageBreakBefore w:val="0"/>
              <w:kinsoku/>
              <w:wordWrap/>
              <w:overflowPunct/>
              <w:topLinePunct w:val="0"/>
              <w:bidi w:val="0"/>
              <w:spacing w:line="560" w:lineRule="exact"/>
              <w:ind w:left="0"/>
              <w:jc w:val="center"/>
              <w:textAlignment w:val="auto"/>
              <w:rPr>
                <w:rFonts w:hint="default" w:ascii="Times New Roman" w:hAnsi="Times New Roman" w:eastAsia="黑体" w:cs="Times New Roman"/>
                <w:color w:val="auto"/>
                <w:sz w:val="28"/>
                <w:szCs w:val="28"/>
              </w:rPr>
            </w:pPr>
            <w:r>
              <w:rPr>
                <w:rFonts w:hint="default" w:ascii="Times New Roman" w:hAnsi="Times New Roman" w:eastAsia="黑体" w:cs="Times New Roman"/>
                <w:color w:val="auto"/>
                <w:sz w:val="28"/>
                <w:szCs w:val="28"/>
              </w:rPr>
              <w:t>计划数</w:t>
            </w:r>
          </w:p>
        </w:tc>
        <w:tc>
          <w:tcPr>
            <w:tcW w:w="1501" w:type="dxa"/>
            <w:noWrap w:val="0"/>
            <w:vAlign w:val="center"/>
          </w:tcPr>
          <w:p w14:paraId="43BDDA3A">
            <w:pPr>
              <w:keepNext w:val="0"/>
              <w:keepLines w:val="0"/>
              <w:pageBreakBefore w:val="0"/>
              <w:kinsoku/>
              <w:wordWrap/>
              <w:overflowPunct/>
              <w:topLinePunct w:val="0"/>
              <w:bidi w:val="0"/>
              <w:spacing w:line="560" w:lineRule="exact"/>
              <w:ind w:left="0"/>
              <w:jc w:val="center"/>
              <w:textAlignment w:val="auto"/>
              <w:rPr>
                <w:rFonts w:hint="default" w:ascii="Times New Roman" w:hAnsi="Times New Roman" w:eastAsia="黑体" w:cs="Times New Roman"/>
                <w:color w:val="auto"/>
                <w:sz w:val="28"/>
                <w:szCs w:val="28"/>
              </w:rPr>
            </w:pPr>
            <w:r>
              <w:rPr>
                <w:rFonts w:hint="default" w:ascii="Times New Roman" w:hAnsi="Times New Roman" w:eastAsia="黑体" w:cs="Times New Roman"/>
                <w:color w:val="auto"/>
                <w:sz w:val="28"/>
                <w:szCs w:val="28"/>
              </w:rPr>
              <w:t>一般检查</w:t>
            </w:r>
          </w:p>
          <w:p w14:paraId="0455F087">
            <w:pPr>
              <w:keepNext w:val="0"/>
              <w:keepLines w:val="0"/>
              <w:pageBreakBefore w:val="0"/>
              <w:kinsoku/>
              <w:wordWrap/>
              <w:overflowPunct/>
              <w:topLinePunct w:val="0"/>
              <w:bidi w:val="0"/>
              <w:spacing w:line="560" w:lineRule="exact"/>
              <w:ind w:left="0"/>
              <w:jc w:val="center"/>
              <w:textAlignment w:val="auto"/>
              <w:rPr>
                <w:rFonts w:hint="default" w:ascii="Times New Roman" w:hAnsi="Times New Roman" w:eastAsia="黑体" w:cs="Times New Roman"/>
                <w:color w:val="auto"/>
                <w:sz w:val="28"/>
                <w:szCs w:val="28"/>
              </w:rPr>
            </w:pPr>
            <w:r>
              <w:rPr>
                <w:rFonts w:hint="default" w:ascii="Times New Roman" w:hAnsi="Times New Roman" w:eastAsia="黑体" w:cs="Times New Roman"/>
                <w:color w:val="auto"/>
                <w:sz w:val="28"/>
                <w:szCs w:val="28"/>
              </w:rPr>
              <w:t>计划数</w:t>
            </w:r>
          </w:p>
        </w:tc>
        <w:tc>
          <w:tcPr>
            <w:tcW w:w="1124" w:type="dxa"/>
            <w:noWrap w:val="0"/>
            <w:vAlign w:val="center"/>
          </w:tcPr>
          <w:p w14:paraId="681173A2">
            <w:pPr>
              <w:keepNext w:val="0"/>
              <w:keepLines w:val="0"/>
              <w:pageBreakBefore w:val="0"/>
              <w:kinsoku/>
              <w:wordWrap/>
              <w:overflowPunct/>
              <w:topLinePunct w:val="0"/>
              <w:bidi w:val="0"/>
              <w:spacing w:line="560" w:lineRule="exact"/>
              <w:ind w:left="0"/>
              <w:jc w:val="center"/>
              <w:textAlignment w:val="auto"/>
              <w:rPr>
                <w:rFonts w:hint="default" w:ascii="Times New Roman" w:hAnsi="Times New Roman" w:eastAsia="黑体" w:cs="Times New Roman"/>
                <w:color w:val="auto"/>
                <w:sz w:val="28"/>
                <w:szCs w:val="28"/>
              </w:rPr>
            </w:pPr>
            <w:r>
              <w:rPr>
                <w:rFonts w:hint="default" w:ascii="Times New Roman" w:hAnsi="Times New Roman" w:eastAsia="黑体" w:cs="Times New Roman"/>
                <w:color w:val="auto"/>
                <w:sz w:val="28"/>
                <w:szCs w:val="28"/>
              </w:rPr>
              <w:t>合计</w:t>
            </w:r>
          </w:p>
        </w:tc>
      </w:tr>
      <w:tr w14:paraId="6E21BC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4" w:type="dxa"/>
            <w:noWrap w:val="0"/>
            <w:vAlign w:val="top"/>
          </w:tcPr>
          <w:p w14:paraId="2512EDF1">
            <w:pPr>
              <w:keepNext w:val="0"/>
              <w:keepLines w:val="0"/>
              <w:pageBreakBefore w:val="0"/>
              <w:kinsoku/>
              <w:wordWrap/>
              <w:overflowPunct/>
              <w:topLinePunct w:val="0"/>
              <w:bidi w:val="0"/>
              <w:spacing w:line="560" w:lineRule="exact"/>
              <w:ind w:left="0"/>
              <w:jc w:val="center"/>
              <w:textAlignment w:val="auto"/>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rPr>
              <w:t>1</w:t>
            </w:r>
          </w:p>
        </w:tc>
        <w:tc>
          <w:tcPr>
            <w:tcW w:w="4350" w:type="dxa"/>
            <w:noWrap w:val="0"/>
            <w:vAlign w:val="top"/>
          </w:tcPr>
          <w:p w14:paraId="48E54B8E">
            <w:pPr>
              <w:keepNext w:val="0"/>
              <w:keepLines w:val="0"/>
              <w:pageBreakBefore w:val="0"/>
              <w:kinsoku/>
              <w:wordWrap/>
              <w:overflowPunct/>
              <w:topLinePunct w:val="0"/>
              <w:bidi w:val="0"/>
              <w:spacing w:line="560" w:lineRule="exact"/>
              <w:ind w:left="0"/>
              <w:jc w:val="center"/>
              <w:textAlignment w:val="auto"/>
              <w:rPr>
                <w:rFonts w:hint="default" w:ascii="Times New Roman" w:hAnsi="Times New Roman" w:eastAsia="仿宋" w:cs="Times New Roman"/>
                <w:color w:val="auto"/>
                <w:sz w:val="24"/>
                <w:szCs w:val="24"/>
                <w:lang w:eastAsia="zh-CN"/>
              </w:rPr>
            </w:pPr>
            <w:r>
              <w:rPr>
                <w:rFonts w:hint="default" w:ascii="Times New Roman" w:hAnsi="Times New Roman" w:eastAsia="仿宋" w:cs="Times New Roman"/>
                <w:color w:val="auto"/>
                <w:sz w:val="24"/>
                <w:szCs w:val="24"/>
                <w:lang w:eastAsia="zh-CN"/>
              </w:rPr>
              <w:t>综合办公室</w:t>
            </w:r>
          </w:p>
        </w:tc>
        <w:tc>
          <w:tcPr>
            <w:tcW w:w="1470" w:type="dxa"/>
            <w:noWrap w:val="0"/>
            <w:vAlign w:val="top"/>
          </w:tcPr>
          <w:p w14:paraId="7FE50B6D">
            <w:pPr>
              <w:keepNext w:val="0"/>
              <w:keepLines w:val="0"/>
              <w:pageBreakBefore w:val="0"/>
              <w:kinsoku/>
              <w:wordWrap/>
              <w:overflowPunct/>
              <w:topLinePunct w:val="0"/>
              <w:bidi w:val="0"/>
              <w:spacing w:line="560" w:lineRule="exact"/>
              <w:ind w:left="0"/>
              <w:jc w:val="center"/>
              <w:textAlignment w:val="auto"/>
              <w:rPr>
                <w:rFonts w:hint="default" w:ascii="Times New Roman" w:hAnsi="Times New Roman" w:eastAsia="仿宋" w:cs="Times New Roman"/>
                <w:color w:val="auto"/>
                <w:sz w:val="24"/>
                <w:szCs w:val="24"/>
                <w:lang w:val="en-US" w:eastAsia="zh-CN"/>
              </w:rPr>
            </w:pPr>
            <w:r>
              <w:rPr>
                <w:rFonts w:hint="eastAsia" w:ascii="Times New Roman" w:hAnsi="Times New Roman" w:eastAsia="仿宋" w:cs="Times New Roman"/>
                <w:color w:val="auto"/>
                <w:sz w:val="24"/>
                <w:szCs w:val="24"/>
                <w:lang w:val="en-US" w:eastAsia="zh-CN"/>
              </w:rPr>
              <w:t>4</w:t>
            </w:r>
          </w:p>
        </w:tc>
        <w:tc>
          <w:tcPr>
            <w:tcW w:w="1501" w:type="dxa"/>
            <w:noWrap w:val="0"/>
            <w:vAlign w:val="top"/>
          </w:tcPr>
          <w:p w14:paraId="22A5F172">
            <w:pPr>
              <w:keepNext w:val="0"/>
              <w:keepLines w:val="0"/>
              <w:pageBreakBefore w:val="0"/>
              <w:kinsoku/>
              <w:wordWrap/>
              <w:overflowPunct/>
              <w:topLinePunct w:val="0"/>
              <w:bidi w:val="0"/>
              <w:spacing w:line="560" w:lineRule="exact"/>
              <w:ind w:left="0"/>
              <w:jc w:val="center"/>
              <w:textAlignment w:val="auto"/>
              <w:rPr>
                <w:rFonts w:hint="default" w:ascii="Times New Roman" w:hAnsi="Times New Roman" w:eastAsia="仿宋" w:cs="Times New Roman"/>
                <w:color w:val="auto"/>
                <w:sz w:val="24"/>
                <w:szCs w:val="24"/>
                <w:lang w:val="en-US" w:eastAsia="zh-CN"/>
              </w:rPr>
            </w:pPr>
            <w:r>
              <w:rPr>
                <w:rFonts w:hint="eastAsia" w:ascii="Times New Roman" w:hAnsi="Times New Roman" w:eastAsia="仿宋" w:cs="Times New Roman"/>
                <w:color w:val="auto"/>
                <w:sz w:val="24"/>
                <w:szCs w:val="24"/>
                <w:lang w:val="en-US" w:eastAsia="zh-CN"/>
              </w:rPr>
              <w:t>5</w:t>
            </w:r>
          </w:p>
        </w:tc>
        <w:tc>
          <w:tcPr>
            <w:tcW w:w="1124" w:type="dxa"/>
            <w:noWrap w:val="0"/>
            <w:vAlign w:val="top"/>
          </w:tcPr>
          <w:p w14:paraId="4B702FC2">
            <w:pPr>
              <w:keepNext w:val="0"/>
              <w:keepLines w:val="0"/>
              <w:pageBreakBefore w:val="0"/>
              <w:kinsoku/>
              <w:wordWrap/>
              <w:overflowPunct/>
              <w:topLinePunct w:val="0"/>
              <w:bidi w:val="0"/>
              <w:spacing w:line="560" w:lineRule="exact"/>
              <w:ind w:left="0"/>
              <w:jc w:val="center"/>
              <w:textAlignment w:val="auto"/>
              <w:rPr>
                <w:rFonts w:hint="default" w:ascii="Times New Roman" w:hAnsi="Times New Roman" w:eastAsia="仿宋" w:cs="Times New Roman"/>
                <w:color w:val="auto"/>
                <w:sz w:val="24"/>
                <w:szCs w:val="24"/>
                <w:lang w:val="en-US" w:eastAsia="zh-CN"/>
              </w:rPr>
            </w:pPr>
            <w:r>
              <w:rPr>
                <w:rFonts w:hint="eastAsia" w:ascii="Times New Roman" w:hAnsi="Times New Roman" w:eastAsia="仿宋" w:cs="Times New Roman"/>
                <w:color w:val="auto"/>
                <w:sz w:val="24"/>
                <w:szCs w:val="24"/>
                <w:lang w:val="en-US" w:eastAsia="zh-CN"/>
              </w:rPr>
              <w:t>9</w:t>
            </w:r>
          </w:p>
        </w:tc>
      </w:tr>
      <w:tr w14:paraId="26CCFB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4" w:type="dxa"/>
            <w:noWrap w:val="0"/>
            <w:vAlign w:val="center"/>
          </w:tcPr>
          <w:p w14:paraId="4414332A">
            <w:pPr>
              <w:keepNext w:val="0"/>
              <w:keepLines w:val="0"/>
              <w:pageBreakBefore w:val="0"/>
              <w:kinsoku/>
              <w:wordWrap/>
              <w:overflowPunct/>
              <w:topLinePunct w:val="0"/>
              <w:bidi w:val="0"/>
              <w:spacing w:line="560" w:lineRule="exact"/>
              <w:ind w:left="0"/>
              <w:jc w:val="center"/>
              <w:textAlignment w:val="auto"/>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rPr>
              <w:t>3</w:t>
            </w:r>
          </w:p>
        </w:tc>
        <w:tc>
          <w:tcPr>
            <w:tcW w:w="4350" w:type="dxa"/>
            <w:noWrap w:val="0"/>
            <w:vAlign w:val="center"/>
          </w:tcPr>
          <w:p w14:paraId="544B25FE">
            <w:pPr>
              <w:keepNext w:val="0"/>
              <w:keepLines w:val="0"/>
              <w:pageBreakBefore w:val="0"/>
              <w:kinsoku/>
              <w:wordWrap/>
              <w:overflowPunct/>
              <w:topLinePunct w:val="0"/>
              <w:bidi w:val="0"/>
              <w:spacing w:line="560" w:lineRule="exact"/>
              <w:ind w:left="0"/>
              <w:jc w:val="center"/>
              <w:textAlignment w:val="auto"/>
              <w:rPr>
                <w:rFonts w:hint="default" w:ascii="Times New Roman" w:hAnsi="Times New Roman" w:eastAsia="仿宋" w:cs="Times New Roman"/>
                <w:color w:val="auto"/>
                <w:sz w:val="24"/>
                <w:szCs w:val="24"/>
                <w:lang w:eastAsia="zh-CN"/>
              </w:rPr>
            </w:pPr>
            <w:r>
              <w:rPr>
                <w:rFonts w:hint="default" w:ascii="Times New Roman" w:hAnsi="Times New Roman" w:eastAsia="仿宋" w:cs="Times New Roman"/>
                <w:color w:val="auto"/>
                <w:sz w:val="24"/>
                <w:szCs w:val="24"/>
                <w:lang w:eastAsia="zh-CN"/>
              </w:rPr>
              <w:t>综合业务股</w:t>
            </w:r>
          </w:p>
        </w:tc>
        <w:tc>
          <w:tcPr>
            <w:tcW w:w="1470" w:type="dxa"/>
            <w:noWrap w:val="0"/>
            <w:vAlign w:val="center"/>
          </w:tcPr>
          <w:p w14:paraId="72EE6605">
            <w:pPr>
              <w:keepNext w:val="0"/>
              <w:keepLines w:val="0"/>
              <w:pageBreakBefore w:val="0"/>
              <w:kinsoku/>
              <w:wordWrap/>
              <w:overflowPunct/>
              <w:topLinePunct w:val="0"/>
              <w:bidi w:val="0"/>
              <w:spacing w:line="560" w:lineRule="exact"/>
              <w:ind w:left="0"/>
              <w:jc w:val="center"/>
              <w:textAlignment w:val="auto"/>
              <w:rPr>
                <w:rFonts w:hint="default" w:ascii="Times New Roman" w:hAnsi="Times New Roman" w:eastAsia="仿宋" w:cs="Times New Roman"/>
                <w:color w:val="auto"/>
                <w:sz w:val="24"/>
                <w:szCs w:val="24"/>
                <w:lang w:val="en-US" w:eastAsia="zh-CN"/>
              </w:rPr>
            </w:pPr>
            <w:r>
              <w:rPr>
                <w:rFonts w:hint="eastAsia" w:ascii="Times New Roman" w:hAnsi="Times New Roman" w:eastAsia="仿宋" w:cs="Times New Roman"/>
                <w:color w:val="auto"/>
                <w:sz w:val="24"/>
                <w:szCs w:val="24"/>
                <w:lang w:val="en-US" w:eastAsia="zh-CN"/>
              </w:rPr>
              <w:t>4</w:t>
            </w:r>
          </w:p>
        </w:tc>
        <w:tc>
          <w:tcPr>
            <w:tcW w:w="1501" w:type="dxa"/>
            <w:noWrap w:val="0"/>
            <w:vAlign w:val="center"/>
          </w:tcPr>
          <w:p w14:paraId="716FA507">
            <w:pPr>
              <w:keepNext w:val="0"/>
              <w:keepLines w:val="0"/>
              <w:pageBreakBefore w:val="0"/>
              <w:kinsoku/>
              <w:wordWrap/>
              <w:overflowPunct/>
              <w:topLinePunct w:val="0"/>
              <w:bidi w:val="0"/>
              <w:spacing w:line="560" w:lineRule="exact"/>
              <w:ind w:left="0"/>
              <w:jc w:val="center"/>
              <w:textAlignment w:val="auto"/>
              <w:rPr>
                <w:rFonts w:hint="default" w:ascii="Times New Roman" w:hAnsi="Times New Roman" w:eastAsia="仿宋" w:cs="Times New Roman"/>
                <w:color w:val="auto"/>
                <w:sz w:val="24"/>
                <w:szCs w:val="24"/>
                <w:lang w:val="en-US" w:eastAsia="zh-CN"/>
              </w:rPr>
            </w:pPr>
            <w:r>
              <w:rPr>
                <w:rFonts w:hint="eastAsia" w:ascii="Times New Roman" w:hAnsi="Times New Roman" w:eastAsia="仿宋" w:cs="Times New Roman"/>
                <w:color w:val="auto"/>
                <w:sz w:val="24"/>
                <w:szCs w:val="24"/>
                <w:lang w:val="en-US" w:eastAsia="zh-CN"/>
              </w:rPr>
              <w:t>5</w:t>
            </w:r>
          </w:p>
        </w:tc>
        <w:tc>
          <w:tcPr>
            <w:tcW w:w="1124" w:type="dxa"/>
            <w:noWrap w:val="0"/>
            <w:vAlign w:val="center"/>
          </w:tcPr>
          <w:p w14:paraId="27CAFCEE">
            <w:pPr>
              <w:keepNext w:val="0"/>
              <w:keepLines w:val="0"/>
              <w:pageBreakBefore w:val="0"/>
              <w:kinsoku/>
              <w:wordWrap/>
              <w:overflowPunct/>
              <w:topLinePunct w:val="0"/>
              <w:bidi w:val="0"/>
              <w:spacing w:line="560" w:lineRule="exact"/>
              <w:ind w:left="0"/>
              <w:jc w:val="center"/>
              <w:textAlignment w:val="auto"/>
              <w:rPr>
                <w:rFonts w:hint="default" w:ascii="Times New Roman" w:hAnsi="Times New Roman" w:eastAsia="仿宋" w:cs="Times New Roman"/>
                <w:color w:val="auto"/>
                <w:sz w:val="24"/>
                <w:szCs w:val="24"/>
                <w:lang w:val="en-US" w:eastAsia="zh-CN"/>
              </w:rPr>
            </w:pPr>
            <w:r>
              <w:rPr>
                <w:rFonts w:hint="eastAsia" w:ascii="Times New Roman" w:hAnsi="Times New Roman" w:eastAsia="仿宋" w:cs="Times New Roman"/>
                <w:color w:val="auto"/>
                <w:sz w:val="24"/>
                <w:szCs w:val="24"/>
                <w:lang w:val="en-US" w:eastAsia="zh-CN"/>
              </w:rPr>
              <w:t>9</w:t>
            </w:r>
          </w:p>
        </w:tc>
      </w:tr>
      <w:tr w14:paraId="4F590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4" w:type="dxa"/>
            <w:noWrap w:val="0"/>
            <w:vAlign w:val="center"/>
          </w:tcPr>
          <w:p w14:paraId="5FBFD3E0">
            <w:pPr>
              <w:keepNext w:val="0"/>
              <w:keepLines w:val="0"/>
              <w:pageBreakBefore w:val="0"/>
              <w:kinsoku/>
              <w:wordWrap/>
              <w:overflowPunct/>
              <w:topLinePunct w:val="0"/>
              <w:bidi w:val="0"/>
              <w:spacing w:line="560" w:lineRule="exact"/>
              <w:ind w:left="0"/>
              <w:jc w:val="center"/>
              <w:textAlignment w:val="auto"/>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rPr>
              <w:t>4</w:t>
            </w:r>
          </w:p>
        </w:tc>
        <w:tc>
          <w:tcPr>
            <w:tcW w:w="4350" w:type="dxa"/>
            <w:noWrap w:val="0"/>
            <w:vAlign w:val="center"/>
          </w:tcPr>
          <w:p w14:paraId="0B03313F">
            <w:pPr>
              <w:keepNext w:val="0"/>
              <w:keepLines w:val="0"/>
              <w:pageBreakBefore w:val="0"/>
              <w:kinsoku/>
              <w:wordWrap/>
              <w:overflowPunct/>
              <w:topLinePunct w:val="0"/>
              <w:bidi w:val="0"/>
              <w:spacing w:line="560" w:lineRule="exact"/>
              <w:ind w:left="0"/>
              <w:jc w:val="center"/>
              <w:textAlignment w:val="auto"/>
              <w:rPr>
                <w:rFonts w:hint="default" w:ascii="Times New Roman" w:hAnsi="Times New Roman" w:eastAsia="仿宋" w:cs="Times New Roman"/>
                <w:color w:val="auto"/>
                <w:sz w:val="24"/>
                <w:szCs w:val="24"/>
              </w:rPr>
            </w:pPr>
            <w:r>
              <w:rPr>
                <w:rFonts w:hint="default" w:ascii="Times New Roman" w:hAnsi="Times New Roman" w:eastAsia="仿宋" w:cs="Times New Roman"/>
                <w:bCs/>
                <w:color w:val="auto"/>
                <w:kern w:val="0"/>
                <w:sz w:val="24"/>
                <w:szCs w:val="24"/>
              </w:rPr>
              <w:t>监察大队</w:t>
            </w:r>
          </w:p>
        </w:tc>
        <w:tc>
          <w:tcPr>
            <w:tcW w:w="1470" w:type="dxa"/>
            <w:noWrap w:val="0"/>
            <w:vAlign w:val="center"/>
          </w:tcPr>
          <w:p w14:paraId="40F83ED4">
            <w:pPr>
              <w:keepNext w:val="0"/>
              <w:keepLines w:val="0"/>
              <w:pageBreakBefore w:val="0"/>
              <w:kinsoku/>
              <w:wordWrap/>
              <w:overflowPunct/>
              <w:topLinePunct w:val="0"/>
              <w:bidi w:val="0"/>
              <w:spacing w:line="560" w:lineRule="exact"/>
              <w:ind w:left="0"/>
              <w:jc w:val="center"/>
              <w:textAlignment w:val="auto"/>
              <w:rPr>
                <w:rFonts w:hint="default" w:ascii="Times New Roman" w:hAnsi="Times New Roman" w:eastAsia="仿宋" w:cs="Times New Roman"/>
                <w:color w:val="auto"/>
                <w:sz w:val="24"/>
                <w:szCs w:val="24"/>
                <w:lang w:val="en-US" w:eastAsia="zh-CN"/>
              </w:rPr>
            </w:pPr>
            <w:r>
              <w:rPr>
                <w:rFonts w:hint="eastAsia" w:ascii="Times New Roman" w:hAnsi="Times New Roman" w:eastAsia="仿宋" w:cs="Times New Roman"/>
                <w:color w:val="auto"/>
                <w:sz w:val="24"/>
                <w:szCs w:val="24"/>
                <w:lang w:val="en-US" w:eastAsia="zh-CN"/>
              </w:rPr>
              <w:t>24</w:t>
            </w:r>
          </w:p>
        </w:tc>
        <w:tc>
          <w:tcPr>
            <w:tcW w:w="1501" w:type="dxa"/>
            <w:noWrap w:val="0"/>
            <w:vAlign w:val="center"/>
          </w:tcPr>
          <w:p w14:paraId="7C5DF6C3">
            <w:pPr>
              <w:keepNext w:val="0"/>
              <w:keepLines w:val="0"/>
              <w:pageBreakBefore w:val="0"/>
              <w:kinsoku/>
              <w:wordWrap/>
              <w:overflowPunct/>
              <w:topLinePunct w:val="0"/>
              <w:bidi w:val="0"/>
              <w:spacing w:line="560" w:lineRule="exact"/>
              <w:ind w:left="0"/>
              <w:jc w:val="center"/>
              <w:textAlignment w:val="auto"/>
              <w:rPr>
                <w:rFonts w:hint="default" w:ascii="Times New Roman" w:hAnsi="Times New Roman" w:eastAsia="仿宋" w:cs="Times New Roman"/>
                <w:color w:val="auto"/>
                <w:sz w:val="24"/>
                <w:szCs w:val="24"/>
                <w:lang w:val="en-US" w:eastAsia="zh-CN"/>
              </w:rPr>
            </w:pPr>
            <w:r>
              <w:rPr>
                <w:rFonts w:hint="eastAsia" w:ascii="Times New Roman" w:hAnsi="Times New Roman" w:eastAsia="仿宋" w:cs="Times New Roman"/>
                <w:color w:val="auto"/>
                <w:sz w:val="24"/>
                <w:szCs w:val="24"/>
                <w:lang w:val="en-US" w:eastAsia="zh-CN"/>
              </w:rPr>
              <w:t>8</w:t>
            </w:r>
          </w:p>
        </w:tc>
        <w:tc>
          <w:tcPr>
            <w:tcW w:w="1124" w:type="dxa"/>
            <w:noWrap w:val="0"/>
            <w:vAlign w:val="center"/>
          </w:tcPr>
          <w:p w14:paraId="035FF636">
            <w:pPr>
              <w:keepNext w:val="0"/>
              <w:keepLines w:val="0"/>
              <w:pageBreakBefore w:val="0"/>
              <w:kinsoku/>
              <w:wordWrap/>
              <w:overflowPunct/>
              <w:topLinePunct w:val="0"/>
              <w:bidi w:val="0"/>
              <w:spacing w:line="560" w:lineRule="exact"/>
              <w:ind w:left="0"/>
              <w:jc w:val="center"/>
              <w:textAlignment w:val="auto"/>
              <w:rPr>
                <w:rFonts w:hint="default" w:ascii="Times New Roman" w:hAnsi="Times New Roman" w:eastAsia="仿宋" w:cs="Times New Roman"/>
                <w:color w:val="auto"/>
                <w:sz w:val="24"/>
                <w:szCs w:val="24"/>
                <w:lang w:val="en-US" w:eastAsia="zh-CN"/>
              </w:rPr>
            </w:pPr>
            <w:r>
              <w:rPr>
                <w:rFonts w:hint="eastAsia" w:ascii="Times New Roman" w:hAnsi="Times New Roman" w:eastAsia="仿宋" w:cs="Times New Roman"/>
                <w:color w:val="auto"/>
                <w:sz w:val="24"/>
                <w:szCs w:val="24"/>
                <w:lang w:val="en-US" w:eastAsia="zh-CN"/>
              </w:rPr>
              <w:t>32</w:t>
            </w:r>
          </w:p>
        </w:tc>
      </w:tr>
      <w:tr w14:paraId="7AF74D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54" w:type="dxa"/>
            <w:gridSpan w:val="2"/>
            <w:noWrap w:val="0"/>
            <w:vAlign w:val="center"/>
          </w:tcPr>
          <w:p w14:paraId="0387F383">
            <w:pPr>
              <w:keepNext w:val="0"/>
              <w:keepLines w:val="0"/>
              <w:pageBreakBefore w:val="0"/>
              <w:kinsoku/>
              <w:wordWrap/>
              <w:overflowPunct/>
              <w:topLinePunct w:val="0"/>
              <w:bidi w:val="0"/>
              <w:spacing w:line="560" w:lineRule="exact"/>
              <w:ind w:left="0"/>
              <w:jc w:val="center"/>
              <w:textAlignment w:val="auto"/>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rPr>
              <w:t>合  计</w:t>
            </w:r>
          </w:p>
        </w:tc>
        <w:tc>
          <w:tcPr>
            <w:tcW w:w="1470" w:type="dxa"/>
            <w:noWrap w:val="0"/>
            <w:vAlign w:val="center"/>
          </w:tcPr>
          <w:p w14:paraId="32BBBAD4">
            <w:pPr>
              <w:keepNext w:val="0"/>
              <w:keepLines w:val="0"/>
              <w:pageBreakBefore w:val="0"/>
              <w:kinsoku/>
              <w:wordWrap/>
              <w:overflowPunct/>
              <w:topLinePunct w:val="0"/>
              <w:bidi w:val="0"/>
              <w:spacing w:line="560" w:lineRule="exact"/>
              <w:ind w:left="0"/>
              <w:jc w:val="center"/>
              <w:textAlignment w:val="auto"/>
              <w:rPr>
                <w:rFonts w:hint="default" w:ascii="Times New Roman" w:hAnsi="Times New Roman" w:eastAsia="仿宋" w:cs="Times New Roman"/>
                <w:color w:val="auto"/>
                <w:sz w:val="24"/>
                <w:szCs w:val="24"/>
                <w:lang w:val="en-US" w:eastAsia="zh-CN"/>
              </w:rPr>
            </w:pPr>
            <w:r>
              <w:rPr>
                <w:rFonts w:hint="eastAsia" w:ascii="Times New Roman" w:hAnsi="Times New Roman" w:eastAsia="仿宋" w:cs="Times New Roman"/>
                <w:color w:val="auto"/>
                <w:sz w:val="24"/>
                <w:szCs w:val="24"/>
                <w:lang w:val="en-US" w:eastAsia="zh-CN"/>
              </w:rPr>
              <w:t>32</w:t>
            </w:r>
          </w:p>
        </w:tc>
        <w:tc>
          <w:tcPr>
            <w:tcW w:w="1501" w:type="dxa"/>
            <w:noWrap w:val="0"/>
            <w:vAlign w:val="center"/>
          </w:tcPr>
          <w:p w14:paraId="670C82FE">
            <w:pPr>
              <w:keepNext w:val="0"/>
              <w:keepLines w:val="0"/>
              <w:pageBreakBefore w:val="0"/>
              <w:kinsoku/>
              <w:wordWrap/>
              <w:overflowPunct/>
              <w:topLinePunct w:val="0"/>
              <w:bidi w:val="0"/>
              <w:spacing w:line="560" w:lineRule="exact"/>
              <w:ind w:left="0"/>
              <w:jc w:val="center"/>
              <w:textAlignment w:val="auto"/>
              <w:rPr>
                <w:rFonts w:hint="default" w:ascii="Times New Roman" w:hAnsi="Times New Roman" w:eastAsia="仿宋" w:cs="Times New Roman"/>
                <w:color w:val="auto"/>
                <w:sz w:val="24"/>
                <w:szCs w:val="24"/>
                <w:lang w:val="en-US" w:eastAsia="zh-CN"/>
              </w:rPr>
            </w:pPr>
            <w:r>
              <w:rPr>
                <w:rFonts w:hint="eastAsia" w:ascii="Times New Roman" w:hAnsi="Times New Roman" w:eastAsia="仿宋" w:cs="Times New Roman"/>
                <w:color w:val="auto"/>
                <w:sz w:val="24"/>
                <w:szCs w:val="24"/>
                <w:lang w:val="en-US" w:eastAsia="zh-CN"/>
              </w:rPr>
              <w:t>18</w:t>
            </w:r>
          </w:p>
        </w:tc>
        <w:tc>
          <w:tcPr>
            <w:tcW w:w="1124" w:type="dxa"/>
            <w:noWrap w:val="0"/>
            <w:vAlign w:val="center"/>
          </w:tcPr>
          <w:p w14:paraId="3EAF8F52">
            <w:pPr>
              <w:keepNext w:val="0"/>
              <w:keepLines w:val="0"/>
              <w:pageBreakBefore w:val="0"/>
              <w:kinsoku/>
              <w:wordWrap/>
              <w:overflowPunct/>
              <w:topLinePunct w:val="0"/>
              <w:bidi w:val="0"/>
              <w:spacing w:line="560" w:lineRule="exact"/>
              <w:ind w:left="0"/>
              <w:jc w:val="center"/>
              <w:textAlignment w:val="auto"/>
              <w:rPr>
                <w:rFonts w:hint="default" w:ascii="Times New Roman" w:hAnsi="Times New Roman" w:eastAsia="仿宋" w:cs="Times New Roman"/>
                <w:color w:val="auto"/>
                <w:sz w:val="24"/>
                <w:szCs w:val="24"/>
                <w:lang w:val="en-US" w:eastAsia="zh-CN"/>
              </w:rPr>
            </w:pPr>
            <w:r>
              <w:rPr>
                <w:rFonts w:hint="eastAsia" w:ascii="Times New Roman" w:hAnsi="Times New Roman" w:eastAsia="仿宋" w:cs="Times New Roman"/>
                <w:color w:val="auto"/>
                <w:sz w:val="24"/>
                <w:szCs w:val="24"/>
                <w:lang w:val="en-US" w:eastAsia="zh-CN"/>
              </w:rPr>
              <w:t>50</w:t>
            </w:r>
          </w:p>
        </w:tc>
      </w:tr>
    </w:tbl>
    <w:p w14:paraId="569D562F">
      <w:pPr>
        <w:pStyle w:val="2"/>
        <w:keepNext w:val="0"/>
        <w:keepLines w:val="0"/>
        <w:pageBreakBefore w:val="0"/>
        <w:kinsoku/>
        <w:wordWrap/>
        <w:overflowPunct/>
        <w:topLinePunct w:val="0"/>
        <w:bidi w:val="0"/>
        <w:spacing w:line="560" w:lineRule="exact"/>
        <w:ind w:firstLine="1528" w:firstLineChars="546"/>
        <w:jc w:val="left"/>
        <w:rPr>
          <w:rFonts w:hint="eastAsia" w:ascii="楷体" w:hAnsi="楷体" w:eastAsia="楷体"/>
          <w:color w:val="000000"/>
          <w:sz w:val="28"/>
          <w:szCs w:val="28"/>
        </w:rPr>
      </w:pPr>
    </w:p>
    <w:p w14:paraId="48CF64FC">
      <w:pPr>
        <w:pStyle w:val="2"/>
        <w:keepNext w:val="0"/>
        <w:keepLines w:val="0"/>
        <w:pageBreakBefore w:val="0"/>
        <w:kinsoku/>
        <w:wordWrap/>
        <w:overflowPunct/>
        <w:topLinePunct w:val="0"/>
        <w:bidi w:val="0"/>
        <w:spacing w:line="560" w:lineRule="exact"/>
        <w:ind w:firstLine="0" w:firstLineChars="0"/>
        <w:jc w:val="left"/>
        <w:rPr>
          <w:rFonts w:ascii="楷体" w:hAnsi="楷体" w:eastAsia="楷体"/>
          <w:color w:val="000000"/>
          <w:sz w:val="28"/>
          <w:szCs w:val="28"/>
        </w:rPr>
        <w:sectPr>
          <w:pgSz w:w="16838" w:h="11906" w:orient="landscape"/>
          <w:pgMar w:top="1418" w:right="1985" w:bottom="1418" w:left="1814" w:header="851" w:footer="1361" w:gutter="0"/>
          <w:pgNumType w:fmt="decimal"/>
          <w:cols w:space="720" w:num="1"/>
          <w:docGrid w:type="lines" w:linePitch="312" w:charSpace="0"/>
        </w:sectPr>
      </w:pPr>
    </w:p>
    <w:p w14:paraId="1AC4DC95">
      <w:pPr>
        <w:pStyle w:val="2"/>
        <w:keepNext w:val="0"/>
        <w:keepLines w:val="0"/>
        <w:pageBreakBefore w:val="0"/>
        <w:kinsoku/>
        <w:wordWrap/>
        <w:overflowPunct/>
        <w:topLinePunct w:val="0"/>
        <w:bidi w:val="0"/>
        <w:spacing w:line="560" w:lineRule="exact"/>
        <w:ind w:firstLine="1528" w:firstLineChars="546"/>
        <w:jc w:val="left"/>
        <w:rPr>
          <w:rFonts w:ascii="楷体" w:hAnsi="楷体" w:eastAsia="楷体"/>
          <w:color w:val="000000"/>
          <w:sz w:val="28"/>
          <w:szCs w:val="28"/>
        </w:rPr>
        <w:sectPr>
          <w:type w:val="continuous"/>
          <w:pgSz w:w="16838" w:h="11906" w:orient="landscape"/>
          <w:pgMar w:top="1418" w:right="1985" w:bottom="1418" w:left="1814" w:header="851" w:footer="1361" w:gutter="0"/>
          <w:pgNumType w:fmt="decimal"/>
          <w:cols w:space="720" w:num="1"/>
          <w:docGrid w:type="lines" w:linePitch="312" w:charSpace="0"/>
        </w:sectPr>
      </w:pPr>
    </w:p>
    <w:p w14:paraId="59C78D94">
      <w:pPr>
        <w:keepNext w:val="0"/>
        <w:keepLines w:val="0"/>
        <w:pageBreakBefore w:val="0"/>
        <w:kinsoku/>
        <w:wordWrap/>
        <w:overflowPunct/>
        <w:topLinePunct w:val="0"/>
        <w:bidi w:val="0"/>
        <w:spacing w:line="560" w:lineRule="exact"/>
        <w:ind w:left="0"/>
        <w:textAlignment w:val="auto"/>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附件5</w:t>
      </w:r>
    </w:p>
    <w:p w14:paraId="6C64D8E7">
      <w:pPr>
        <w:keepNext w:val="0"/>
        <w:keepLines w:val="0"/>
        <w:pageBreakBefore w:val="0"/>
        <w:widowControl w:val="0"/>
        <w:kinsoku/>
        <w:wordWrap/>
        <w:overflowPunct/>
        <w:topLinePunct w:val="0"/>
        <w:autoSpaceDE/>
        <w:autoSpaceDN/>
        <w:bidi w:val="0"/>
        <w:adjustRightInd/>
        <w:snapToGrid/>
        <w:spacing w:line="560" w:lineRule="exact"/>
        <w:ind w:left="0"/>
        <w:jc w:val="center"/>
        <w:textAlignment w:val="auto"/>
        <w:rPr>
          <w:rFonts w:hint="default" w:ascii="Times New Roman" w:hAnsi="Times New Roman" w:cs="Times New Roman"/>
          <w:b/>
          <w:bCs/>
          <w:color w:val="auto"/>
          <w:kern w:val="0"/>
          <w:sz w:val="44"/>
          <w:szCs w:val="44"/>
        </w:rPr>
      </w:pPr>
    </w:p>
    <w:p w14:paraId="689855EC">
      <w:pPr>
        <w:keepNext w:val="0"/>
        <w:keepLines w:val="0"/>
        <w:pageBreakBefore w:val="0"/>
        <w:kinsoku/>
        <w:wordWrap/>
        <w:overflowPunct/>
        <w:topLinePunct w:val="0"/>
        <w:bidi w:val="0"/>
        <w:adjustRightInd w:val="0"/>
        <w:snapToGrid w:val="0"/>
        <w:spacing w:line="560" w:lineRule="exact"/>
        <w:ind w:left="0"/>
        <w:jc w:val="center"/>
        <w:textAlignment w:val="auto"/>
        <w:rPr>
          <w:rFonts w:hint="default" w:ascii="Times New Roman" w:hAnsi="Times New Roman" w:cs="Times New Roman"/>
        </w:rPr>
      </w:pPr>
      <w:r>
        <w:rPr>
          <w:rFonts w:hint="default" w:ascii="Times New Roman" w:hAnsi="Times New Roman" w:eastAsia="小标宋" w:cs="Times New Roman"/>
          <w:bCs/>
          <w:color w:val="auto"/>
          <w:sz w:val="44"/>
          <w:szCs w:val="32"/>
        </w:rPr>
        <w:t>202</w:t>
      </w:r>
      <w:r>
        <w:rPr>
          <w:rFonts w:hint="eastAsia" w:ascii="Times New Roman" w:hAnsi="Times New Roman" w:eastAsia="小标宋" w:cs="Times New Roman"/>
          <w:bCs/>
          <w:color w:val="auto"/>
          <w:sz w:val="44"/>
          <w:szCs w:val="32"/>
          <w:lang w:val="en-US" w:eastAsia="zh-CN"/>
        </w:rPr>
        <w:t>5</w:t>
      </w:r>
      <w:r>
        <w:rPr>
          <w:rFonts w:hint="default" w:ascii="Times New Roman" w:hAnsi="Times New Roman" w:eastAsia="小标宋" w:cs="Times New Roman"/>
          <w:bCs/>
          <w:color w:val="auto"/>
          <w:sz w:val="44"/>
          <w:szCs w:val="32"/>
        </w:rPr>
        <w:t>年度监督检查时间及任务分配表</w:t>
      </w:r>
    </w:p>
    <w:tbl>
      <w:tblPr>
        <w:tblStyle w:val="8"/>
        <w:tblpPr w:leftFromText="180" w:rightFromText="180" w:vertAnchor="text" w:horzAnchor="page" w:tblpX="1863" w:tblpY="446"/>
        <w:tblOverlap w:val="never"/>
        <w:tblW w:w="12943" w:type="dxa"/>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2543"/>
        <w:gridCol w:w="1134"/>
        <w:gridCol w:w="1276"/>
        <w:gridCol w:w="1275"/>
        <w:gridCol w:w="1276"/>
        <w:gridCol w:w="1276"/>
        <w:gridCol w:w="1134"/>
        <w:gridCol w:w="1187"/>
        <w:gridCol w:w="1134"/>
        <w:gridCol w:w="708"/>
      </w:tblGrid>
      <w:tr w14:paraId="1C206E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91" w:hRule="atLeast"/>
        </w:trPr>
        <w:tc>
          <w:tcPr>
            <w:tcW w:w="2543" w:type="dxa"/>
            <w:vMerge w:val="restart"/>
            <w:tcBorders>
              <w:top w:val="single" w:color="000000" w:sz="8" w:space="0"/>
              <w:left w:val="single" w:color="000000" w:sz="8" w:space="0"/>
              <w:bottom w:val="single" w:color="000000" w:sz="8" w:space="0"/>
              <w:right w:val="single" w:color="000000" w:sz="8" w:space="0"/>
            </w:tcBorders>
            <w:noWrap w:val="0"/>
            <w:tcMar>
              <w:top w:w="15" w:type="dxa"/>
              <w:left w:w="15" w:type="dxa"/>
              <w:bottom w:w="15" w:type="dxa"/>
              <w:right w:w="15" w:type="dxa"/>
            </w:tcMar>
            <w:vAlign w:val="center"/>
          </w:tcPr>
          <w:p w14:paraId="514074E2">
            <w:pPr>
              <w:keepNext w:val="0"/>
              <w:keepLines w:val="0"/>
              <w:pageBreakBefore w:val="0"/>
              <w:widowControl/>
              <w:kinsoku/>
              <w:wordWrap/>
              <w:overflowPunct/>
              <w:topLinePunct w:val="0"/>
              <w:bidi w:val="0"/>
              <w:spacing w:line="560" w:lineRule="exact"/>
              <w:jc w:val="center"/>
              <w:textAlignment w:val="center"/>
              <w:rPr>
                <w:rFonts w:hint="default" w:ascii="Times New Roman" w:hAnsi="Times New Roman" w:eastAsia="黑体" w:cs="Times New Roman"/>
                <w:color w:val="000000"/>
                <w:kern w:val="0"/>
                <w:szCs w:val="21"/>
              </w:rPr>
            </w:pPr>
            <w:r>
              <w:rPr>
                <w:rFonts w:hint="default" w:ascii="Times New Roman" w:hAnsi="Times New Roman" w:eastAsia="黑体" w:cs="Times New Roman"/>
                <w:color w:val="000000"/>
                <w:kern w:val="0"/>
                <w:szCs w:val="21"/>
              </w:rPr>
              <w:t>单位</w:t>
            </w:r>
          </w:p>
        </w:tc>
        <w:tc>
          <w:tcPr>
            <w:tcW w:w="2410" w:type="dxa"/>
            <w:gridSpan w:val="2"/>
            <w:tcBorders>
              <w:top w:val="single" w:color="000000" w:sz="8" w:space="0"/>
              <w:left w:val="single" w:color="000000" w:sz="8" w:space="0"/>
              <w:bottom w:val="single" w:color="000000" w:sz="8" w:space="0"/>
              <w:right w:val="single" w:color="auto" w:sz="4" w:space="0"/>
            </w:tcBorders>
            <w:noWrap w:val="0"/>
            <w:tcMar>
              <w:top w:w="15" w:type="dxa"/>
              <w:left w:w="15" w:type="dxa"/>
              <w:bottom w:w="15" w:type="dxa"/>
              <w:right w:w="15" w:type="dxa"/>
            </w:tcMar>
            <w:vAlign w:val="center"/>
          </w:tcPr>
          <w:p w14:paraId="0BC78DCF">
            <w:pPr>
              <w:keepNext w:val="0"/>
              <w:keepLines w:val="0"/>
              <w:pageBreakBefore w:val="0"/>
              <w:widowControl/>
              <w:kinsoku/>
              <w:wordWrap/>
              <w:overflowPunct/>
              <w:topLinePunct w:val="0"/>
              <w:bidi w:val="0"/>
              <w:spacing w:line="560" w:lineRule="exact"/>
              <w:jc w:val="center"/>
              <w:textAlignment w:val="center"/>
              <w:rPr>
                <w:rFonts w:hint="default" w:ascii="Times New Roman" w:hAnsi="Times New Roman" w:eastAsia="黑体" w:cs="Times New Roman"/>
                <w:color w:val="000000"/>
                <w:kern w:val="0"/>
                <w:szCs w:val="21"/>
              </w:rPr>
            </w:pPr>
            <w:r>
              <w:rPr>
                <w:rFonts w:hint="default" w:ascii="Times New Roman" w:hAnsi="Times New Roman" w:eastAsia="黑体" w:cs="Times New Roman"/>
                <w:color w:val="000000"/>
                <w:kern w:val="0"/>
                <w:szCs w:val="21"/>
              </w:rPr>
              <w:t>第一季度</w:t>
            </w:r>
          </w:p>
        </w:tc>
        <w:tc>
          <w:tcPr>
            <w:tcW w:w="2551" w:type="dxa"/>
            <w:gridSpan w:val="2"/>
            <w:tcBorders>
              <w:top w:val="single" w:color="000000" w:sz="8" w:space="0"/>
              <w:left w:val="single" w:color="auto" w:sz="4" w:space="0"/>
              <w:bottom w:val="single" w:color="000000" w:sz="8" w:space="0"/>
              <w:right w:val="single" w:color="auto" w:sz="4" w:space="0"/>
            </w:tcBorders>
            <w:noWrap w:val="0"/>
            <w:tcMar>
              <w:top w:w="15" w:type="dxa"/>
              <w:left w:w="15" w:type="dxa"/>
              <w:bottom w:w="15" w:type="dxa"/>
              <w:right w:w="15" w:type="dxa"/>
            </w:tcMar>
            <w:vAlign w:val="center"/>
          </w:tcPr>
          <w:p w14:paraId="3C68F801">
            <w:pPr>
              <w:keepNext w:val="0"/>
              <w:keepLines w:val="0"/>
              <w:pageBreakBefore w:val="0"/>
              <w:widowControl/>
              <w:kinsoku/>
              <w:wordWrap/>
              <w:overflowPunct/>
              <w:topLinePunct w:val="0"/>
              <w:bidi w:val="0"/>
              <w:spacing w:line="560" w:lineRule="exact"/>
              <w:jc w:val="center"/>
              <w:textAlignment w:val="center"/>
              <w:rPr>
                <w:rFonts w:hint="default" w:ascii="Times New Roman" w:hAnsi="Times New Roman" w:eastAsia="黑体" w:cs="Times New Roman"/>
                <w:color w:val="000000"/>
                <w:kern w:val="0"/>
                <w:szCs w:val="21"/>
              </w:rPr>
            </w:pPr>
            <w:r>
              <w:rPr>
                <w:rFonts w:hint="default" w:ascii="Times New Roman" w:hAnsi="Times New Roman" w:eastAsia="黑体" w:cs="Times New Roman"/>
                <w:color w:val="000000"/>
                <w:kern w:val="0"/>
                <w:szCs w:val="21"/>
              </w:rPr>
              <w:t>第二季度</w:t>
            </w:r>
          </w:p>
        </w:tc>
        <w:tc>
          <w:tcPr>
            <w:tcW w:w="2410" w:type="dxa"/>
            <w:gridSpan w:val="2"/>
            <w:tcBorders>
              <w:top w:val="single" w:color="000000" w:sz="8" w:space="0"/>
              <w:left w:val="single" w:color="000000" w:sz="8" w:space="0"/>
              <w:bottom w:val="single" w:color="000000" w:sz="8" w:space="0"/>
              <w:right w:val="single" w:color="auto" w:sz="4" w:space="0"/>
            </w:tcBorders>
            <w:noWrap w:val="0"/>
            <w:tcMar>
              <w:top w:w="15" w:type="dxa"/>
              <w:left w:w="15" w:type="dxa"/>
              <w:bottom w:w="15" w:type="dxa"/>
              <w:right w:w="15" w:type="dxa"/>
            </w:tcMar>
            <w:vAlign w:val="center"/>
          </w:tcPr>
          <w:p w14:paraId="70828DC5">
            <w:pPr>
              <w:keepNext w:val="0"/>
              <w:keepLines w:val="0"/>
              <w:pageBreakBefore w:val="0"/>
              <w:widowControl/>
              <w:kinsoku/>
              <w:wordWrap/>
              <w:overflowPunct/>
              <w:topLinePunct w:val="0"/>
              <w:bidi w:val="0"/>
              <w:spacing w:line="560" w:lineRule="exact"/>
              <w:jc w:val="center"/>
              <w:textAlignment w:val="center"/>
              <w:rPr>
                <w:rFonts w:hint="default" w:ascii="Times New Roman" w:hAnsi="Times New Roman" w:eastAsia="黑体" w:cs="Times New Roman"/>
                <w:color w:val="000000"/>
                <w:kern w:val="0"/>
                <w:szCs w:val="21"/>
              </w:rPr>
            </w:pPr>
            <w:r>
              <w:rPr>
                <w:rFonts w:hint="default" w:ascii="Times New Roman" w:hAnsi="Times New Roman" w:eastAsia="黑体" w:cs="Times New Roman"/>
                <w:color w:val="000000"/>
                <w:kern w:val="0"/>
                <w:szCs w:val="21"/>
              </w:rPr>
              <w:t>第三季度</w:t>
            </w:r>
          </w:p>
        </w:tc>
        <w:tc>
          <w:tcPr>
            <w:tcW w:w="2321" w:type="dxa"/>
            <w:gridSpan w:val="2"/>
            <w:tcBorders>
              <w:top w:val="single" w:color="000000" w:sz="8" w:space="0"/>
              <w:left w:val="single" w:color="000000" w:sz="8" w:space="0"/>
              <w:bottom w:val="single" w:color="000000" w:sz="8" w:space="0"/>
              <w:right w:val="single" w:color="auto" w:sz="4" w:space="0"/>
            </w:tcBorders>
            <w:noWrap w:val="0"/>
            <w:tcMar>
              <w:top w:w="15" w:type="dxa"/>
              <w:left w:w="15" w:type="dxa"/>
              <w:bottom w:w="15" w:type="dxa"/>
              <w:right w:w="15" w:type="dxa"/>
            </w:tcMar>
            <w:vAlign w:val="center"/>
          </w:tcPr>
          <w:p w14:paraId="131DB96A">
            <w:pPr>
              <w:keepNext w:val="0"/>
              <w:keepLines w:val="0"/>
              <w:pageBreakBefore w:val="0"/>
              <w:widowControl/>
              <w:kinsoku/>
              <w:wordWrap/>
              <w:overflowPunct/>
              <w:topLinePunct w:val="0"/>
              <w:bidi w:val="0"/>
              <w:spacing w:line="560" w:lineRule="exact"/>
              <w:jc w:val="center"/>
              <w:textAlignment w:val="center"/>
              <w:rPr>
                <w:rFonts w:hint="default" w:ascii="Times New Roman" w:hAnsi="Times New Roman" w:eastAsia="黑体" w:cs="Times New Roman"/>
                <w:color w:val="000000"/>
                <w:kern w:val="0"/>
                <w:szCs w:val="21"/>
              </w:rPr>
            </w:pPr>
            <w:r>
              <w:rPr>
                <w:rFonts w:hint="default" w:ascii="Times New Roman" w:hAnsi="Times New Roman" w:eastAsia="黑体" w:cs="Times New Roman"/>
                <w:color w:val="000000"/>
                <w:kern w:val="0"/>
                <w:szCs w:val="21"/>
              </w:rPr>
              <w:t>第四季度</w:t>
            </w:r>
          </w:p>
        </w:tc>
        <w:tc>
          <w:tcPr>
            <w:tcW w:w="708" w:type="dxa"/>
            <w:vMerge w:val="restart"/>
            <w:tcBorders>
              <w:top w:val="single" w:color="000000" w:sz="8" w:space="0"/>
              <w:left w:val="single" w:color="000000" w:sz="8" w:space="0"/>
              <w:bottom w:val="single" w:color="000000" w:sz="8" w:space="0"/>
              <w:right w:val="single" w:color="000000" w:sz="8" w:space="0"/>
            </w:tcBorders>
            <w:noWrap w:val="0"/>
            <w:tcMar>
              <w:top w:w="15" w:type="dxa"/>
              <w:left w:w="15" w:type="dxa"/>
              <w:bottom w:w="15" w:type="dxa"/>
              <w:right w:w="15" w:type="dxa"/>
            </w:tcMar>
            <w:vAlign w:val="center"/>
          </w:tcPr>
          <w:p w14:paraId="66ED2551">
            <w:pPr>
              <w:keepNext w:val="0"/>
              <w:keepLines w:val="0"/>
              <w:pageBreakBefore w:val="0"/>
              <w:widowControl/>
              <w:kinsoku/>
              <w:wordWrap/>
              <w:overflowPunct/>
              <w:topLinePunct w:val="0"/>
              <w:bidi w:val="0"/>
              <w:spacing w:line="560" w:lineRule="exact"/>
              <w:jc w:val="center"/>
              <w:textAlignment w:val="center"/>
              <w:rPr>
                <w:rFonts w:hint="default" w:ascii="Times New Roman" w:hAnsi="Times New Roman" w:eastAsia="黑体" w:cs="Times New Roman"/>
                <w:color w:val="000000"/>
                <w:kern w:val="0"/>
                <w:szCs w:val="21"/>
                <w:lang w:eastAsia="zh-CN"/>
              </w:rPr>
            </w:pPr>
            <w:r>
              <w:rPr>
                <w:rFonts w:hint="default" w:ascii="Times New Roman" w:hAnsi="Times New Roman" w:eastAsia="黑体" w:cs="Times New Roman"/>
                <w:color w:val="000000"/>
                <w:kern w:val="0"/>
                <w:szCs w:val="21"/>
              </w:rPr>
              <w:t>小计</w:t>
            </w:r>
            <w:r>
              <w:rPr>
                <w:rFonts w:hint="default" w:ascii="Times New Roman" w:hAnsi="Times New Roman" w:eastAsia="黑体" w:cs="Times New Roman"/>
                <w:color w:val="000000"/>
                <w:kern w:val="0"/>
                <w:szCs w:val="21"/>
                <w:lang w:eastAsia="zh-CN"/>
              </w:rPr>
              <w:t>（家）</w:t>
            </w:r>
          </w:p>
        </w:tc>
      </w:tr>
      <w:tr w14:paraId="6E5D36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803" w:hRule="atLeast"/>
        </w:trPr>
        <w:tc>
          <w:tcPr>
            <w:tcW w:w="2543" w:type="dxa"/>
            <w:vMerge w:val="continue"/>
            <w:tcBorders>
              <w:top w:val="single" w:color="000000" w:sz="8" w:space="0"/>
              <w:left w:val="single" w:color="000000" w:sz="8" w:space="0"/>
              <w:bottom w:val="single" w:color="000000" w:sz="8" w:space="0"/>
              <w:right w:val="single" w:color="000000" w:sz="8" w:space="0"/>
            </w:tcBorders>
            <w:noWrap w:val="0"/>
            <w:vAlign w:val="center"/>
          </w:tcPr>
          <w:p w14:paraId="5C7CC171">
            <w:pPr>
              <w:keepNext w:val="0"/>
              <w:keepLines w:val="0"/>
              <w:pageBreakBefore w:val="0"/>
              <w:widowControl/>
              <w:kinsoku/>
              <w:wordWrap/>
              <w:overflowPunct/>
              <w:topLinePunct w:val="0"/>
              <w:bidi w:val="0"/>
              <w:spacing w:line="560" w:lineRule="exact"/>
              <w:jc w:val="left"/>
              <w:rPr>
                <w:rFonts w:hint="default" w:ascii="Times New Roman" w:hAnsi="Times New Roman" w:eastAsia="仿宋_GB2312" w:cs="Times New Roman"/>
                <w:color w:val="000000"/>
                <w:kern w:val="0"/>
                <w:szCs w:val="21"/>
              </w:rPr>
            </w:pPr>
          </w:p>
        </w:tc>
        <w:tc>
          <w:tcPr>
            <w:tcW w:w="1134" w:type="dxa"/>
            <w:tcBorders>
              <w:top w:val="single" w:color="000000" w:sz="8" w:space="0"/>
              <w:left w:val="single" w:color="000000" w:sz="8" w:space="0"/>
              <w:bottom w:val="single" w:color="000000" w:sz="8" w:space="0"/>
              <w:right w:val="single" w:color="000000" w:sz="8" w:space="0"/>
            </w:tcBorders>
            <w:noWrap w:val="0"/>
            <w:tcMar>
              <w:top w:w="15" w:type="dxa"/>
              <w:left w:w="15" w:type="dxa"/>
              <w:bottom w:w="15" w:type="dxa"/>
              <w:right w:w="15" w:type="dxa"/>
            </w:tcMar>
            <w:vAlign w:val="center"/>
          </w:tcPr>
          <w:p w14:paraId="2199AAEC">
            <w:pPr>
              <w:keepNext w:val="0"/>
              <w:keepLines w:val="0"/>
              <w:pageBreakBefore w:val="0"/>
              <w:widowControl/>
              <w:kinsoku/>
              <w:wordWrap/>
              <w:overflowPunct/>
              <w:topLinePunct w:val="0"/>
              <w:bidi w:val="0"/>
              <w:spacing w:line="560" w:lineRule="exact"/>
              <w:jc w:val="center"/>
              <w:textAlignment w:val="center"/>
              <w:rPr>
                <w:rFonts w:hint="default" w:ascii="Times New Roman" w:hAnsi="Times New Roman" w:eastAsia="黑体" w:cs="Times New Roman"/>
                <w:color w:val="000000"/>
                <w:kern w:val="0"/>
                <w:szCs w:val="21"/>
              </w:rPr>
            </w:pPr>
            <w:r>
              <w:rPr>
                <w:rFonts w:hint="default" w:ascii="Times New Roman" w:hAnsi="Times New Roman" w:eastAsia="黑体" w:cs="Times New Roman"/>
                <w:color w:val="000000"/>
                <w:kern w:val="0"/>
                <w:szCs w:val="21"/>
              </w:rPr>
              <w:t>重点检查</w:t>
            </w:r>
          </w:p>
          <w:p w14:paraId="194344E3">
            <w:pPr>
              <w:keepNext w:val="0"/>
              <w:keepLines w:val="0"/>
              <w:pageBreakBefore w:val="0"/>
              <w:widowControl/>
              <w:kinsoku/>
              <w:wordWrap/>
              <w:overflowPunct/>
              <w:topLinePunct w:val="0"/>
              <w:bidi w:val="0"/>
              <w:spacing w:line="560" w:lineRule="exact"/>
              <w:jc w:val="center"/>
              <w:textAlignment w:val="center"/>
              <w:rPr>
                <w:rFonts w:hint="default" w:ascii="Times New Roman" w:hAnsi="Times New Roman" w:eastAsia="黑体" w:cs="Times New Roman"/>
                <w:color w:val="000000"/>
                <w:kern w:val="0"/>
                <w:szCs w:val="21"/>
              </w:rPr>
            </w:pPr>
            <w:r>
              <w:rPr>
                <w:rFonts w:hint="default" w:ascii="Times New Roman" w:hAnsi="Times New Roman" w:eastAsia="黑体" w:cs="Times New Roman"/>
                <w:color w:val="000000"/>
                <w:kern w:val="0"/>
                <w:szCs w:val="21"/>
              </w:rPr>
              <w:t>企业（家）</w:t>
            </w:r>
          </w:p>
        </w:tc>
        <w:tc>
          <w:tcPr>
            <w:tcW w:w="1276" w:type="dxa"/>
            <w:tcBorders>
              <w:top w:val="single" w:color="000000" w:sz="8" w:space="0"/>
              <w:left w:val="single" w:color="000000" w:sz="8" w:space="0"/>
              <w:bottom w:val="single" w:color="000000" w:sz="8" w:space="0"/>
              <w:right w:val="single" w:color="auto" w:sz="4" w:space="0"/>
            </w:tcBorders>
            <w:noWrap w:val="0"/>
            <w:tcMar>
              <w:top w:w="15" w:type="dxa"/>
              <w:left w:w="15" w:type="dxa"/>
              <w:bottom w:w="15" w:type="dxa"/>
              <w:right w:w="15" w:type="dxa"/>
            </w:tcMar>
            <w:vAlign w:val="center"/>
          </w:tcPr>
          <w:p w14:paraId="47DA9116">
            <w:pPr>
              <w:keepNext w:val="0"/>
              <w:keepLines w:val="0"/>
              <w:pageBreakBefore w:val="0"/>
              <w:widowControl/>
              <w:kinsoku/>
              <w:wordWrap/>
              <w:overflowPunct/>
              <w:topLinePunct w:val="0"/>
              <w:bidi w:val="0"/>
              <w:spacing w:line="560" w:lineRule="exact"/>
              <w:jc w:val="center"/>
              <w:textAlignment w:val="center"/>
              <w:rPr>
                <w:rFonts w:hint="default" w:ascii="Times New Roman" w:hAnsi="Times New Roman" w:eastAsia="黑体" w:cs="Times New Roman"/>
                <w:color w:val="000000"/>
                <w:kern w:val="0"/>
                <w:szCs w:val="21"/>
              </w:rPr>
            </w:pPr>
            <w:r>
              <w:rPr>
                <w:rFonts w:hint="default" w:ascii="Times New Roman" w:hAnsi="Times New Roman" w:eastAsia="黑体" w:cs="Times New Roman"/>
                <w:color w:val="000000"/>
                <w:kern w:val="0"/>
                <w:szCs w:val="21"/>
              </w:rPr>
              <w:t>一般检查</w:t>
            </w:r>
          </w:p>
          <w:p w14:paraId="41B948A4">
            <w:pPr>
              <w:keepNext w:val="0"/>
              <w:keepLines w:val="0"/>
              <w:pageBreakBefore w:val="0"/>
              <w:widowControl/>
              <w:kinsoku/>
              <w:wordWrap/>
              <w:overflowPunct/>
              <w:topLinePunct w:val="0"/>
              <w:bidi w:val="0"/>
              <w:spacing w:line="560" w:lineRule="exact"/>
              <w:jc w:val="center"/>
              <w:textAlignment w:val="center"/>
              <w:rPr>
                <w:rFonts w:hint="default" w:ascii="Times New Roman" w:hAnsi="Times New Roman" w:eastAsia="黑体" w:cs="Times New Roman"/>
                <w:color w:val="000000"/>
                <w:kern w:val="0"/>
                <w:szCs w:val="21"/>
              </w:rPr>
            </w:pPr>
            <w:r>
              <w:rPr>
                <w:rFonts w:hint="default" w:ascii="Times New Roman" w:hAnsi="Times New Roman" w:eastAsia="黑体" w:cs="Times New Roman"/>
                <w:color w:val="000000"/>
                <w:kern w:val="0"/>
                <w:szCs w:val="21"/>
              </w:rPr>
              <w:t>企业（家）</w:t>
            </w:r>
          </w:p>
        </w:tc>
        <w:tc>
          <w:tcPr>
            <w:tcW w:w="1275" w:type="dxa"/>
            <w:tcBorders>
              <w:top w:val="single" w:color="000000" w:sz="8" w:space="0"/>
              <w:left w:val="single" w:color="000000" w:sz="8" w:space="0"/>
              <w:bottom w:val="single" w:color="000000" w:sz="8" w:space="0"/>
              <w:right w:val="single" w:color="000000" w:sz="8" w:space="0"/>
            </w:tcBorders>
            <w:noWrap w:val="0"/>
            <w:tcMar>
              <w:top w:w="15" w:type="dxa"/>
              <w:left w:w="15" w:type="dxa"/>
              <w:bottom w:w="15" w:type="dxa"/>
              <w:right w:w="15" w:type="dxa"/>
            </w:tcMar>
            <w:vAlign w:val="center"/>
          </w:tcPr>
          <w:p w14:paraId="7CDF3A29">
            <w:pPr>
              <w:keepNext w:val="0"/>
              <w:keepLines w:val="0"/>
              <w:pageBreakBefore w:val="0"/>
              <w:widowControl/>
              <w:kinsoku/>
              <w:wordWrap/>
              <w:overflowPunct/>
              <w:topLinePunct w:val="0"/>
              <w:bidi w:val="0"/>
              <w:spacing w:line="560" w:lineRule="exact"/>
              <w:jc w:val="center"/>
              <w:textAlignment w:val="center"/>
              <w:rPr>
                <w:rFonts w:hint="default" w:ascii="Times New Roman" w:hAnsi="Times New Roman" w:eastAsia="黑体" w:cs="Times New Roman"/>
                <w:color w:val="000000"/>
                <w:kern w:val="0"/>
                <w:szCs w:val="21"/>
              </w:rPr>
            </w:pPr>
            <w:r>
              <w:rPr>
                <w:rFonts w:hint="default" w:ascii="Times New Roman" w:hAnsi="Times New Roman" w:eastAsia="黑体" w:cs="Times New Roman"/>
                <w:color w:val="000000"/>
                <w:kern w:val="0"/>
                <w:szCs w:val="21"/>
              </w:rPr>
              <w:t>重点检查</w:t>
            </w:r>
          </w:p>
          <w:p w14:paraId="0316583E">
            <w:pPr>
              <w:keepNext w:val="0"/>
              <w:keepLines w:val="0"/>
              <w:pageBreakBefore w:val="0"/>
              <w:widowControl/>
              <w:kinsoku/>
              <w:wordWrap/>
              <w:overflowPunct/>
              <w:topLinePunct w:val="0"/>
              <w:bidi w:val="0"/>
              <w:spacing w:line="560" w:lineRule="exact"/>
              <w:jc w:val="center"/>
              <w:textAlignment w:val="center"/>
              <w:rPr>
                <w:rFonts w:hint="default" w:ascii="Times New Roman" w:hAnsi="Times New Roman" w:eastAsia="黑体" w:cs="Times New Roman"/>
                <w:color w:val="000000"/>
                <w:kern w:val="0"/>
                <w:szCs w:val="21"/>
              </w:rPr>
            </w:pPr>
            <w:r>
              <w:rPr>
                <w:rFonts w:hint="default" w:ascii="Times New Roman" w:hAnsi="Times New Roman" w:eastAsia="黑体" w:cs="Times New Roman"/>
                <w:color w:val="000000"/>
                <w:kern w:val="0"/>
                <w:szCs w:val="21"/>
              </w:rPr>
              <w:t>企业（家）</w:t>
            </w:r>
          </w:p>
        </w:tc>
        <w:tc>
          <w:tcPr>
            <w:tcW w:w="1276" w:type="dxa"/>
            <w:tcBorders>
              <w:top w:val="single" w:color="000000" w:sz="8" w:space="0"/>
              <w:left w:val="single" w:color="000000" w:sz="8" w:space="0"/>
              <w:bottom w:val="single" w:color="000000" w:sz="8" w:space="0"/>
              <w:right w:val="single" w:color="auto" w:sz="4" w:space="0"/>
            </w:tcBorders>
            <w:noWrap w:val="0"/>
            <w:tcMar>
              <w:top w:w="15" w:type="dxa"/>
              <w:left w:w="15" w:type="dxa"/>
              <w:bottom w:w="15" w:type="dxa"/>
              <w:right w:w="15" w:type="dxa"/>
            </w:tcMar>
            <w:vAlign w:val="center"/>
          </w:tcPr>
          <w:p w14:paraId="4E5CBA13">
            <w:pPr>
              <w:keepNext w:val="0"/>
              <w:keepLines w:val="0"/>
              <w:pageBreakBefore w:val="0"/>
              <w:widowControl/>
              <w:kinsoku/>
              <w:wordWrap/>
              <w:overflowPunct/>
              <w:topLinePunct w:val="0"/>
              <w:bidi w:val="0"/>
              <w:spacing w:line="560" w:lineRule="exact"/>
              <w:jc w:val="center"/>
              <w:textAlignment w:val="center"/>
              <w:rPr>
                <w:rFonts w:hint="default" w:ascii="Times New Roman" w:hAnsi="Times New Roman" w:eastAsia="黑体" w:cs="Times New Roman"/>
                <w:color w:val="000000"/>
                <w:kern w:val="0"/>
                <w:szCs w:val="21"/>
              </w:rPr>
            </w:pPr>
            <w:r>
              <w:rPr>
                <w:rFonts w:hint="default" w:ascii="Times New Roman" w:hAnsi="Times New Roman" w:eastAsia="黑体" w:cs="Times New Roman"/>
                <w:color w:val="000000"/>
                <w:kern w:val="0"/>
                <w:szCs w:val="21"/>
              </w:rPr>
              <w:t>一般检查</w:t>
            </w:r>
          </w:p>
          <w:p w14:paraId="185B96D2">
            <w:pPr>
              <w:keepNext w:val="0"/>
              <w:keepLines w:val="0"/>
              <w:pageBreakBefore w:val="0"/>
              <w:widowControl/>
              <w:kinsoku/>
              <w:wordWrap/>
              <w:overflowPunct/>
              <w:topLinePunct w:val="0"/>
              <w:bidi w:val="0"/>
              <w:spacing w:line="560" w:lineRule="exact"/>
              <w:jc w:val="center"/>
              <w:textAlignment w:val="center"/>
              <w:rPr>
                <w:rFonts w:hint="default" w:ascii="Times New Roman" w:hAnsi="Times New Roman" w:eastAsia="黑体" w:cs="Times New Roman"/>
                <w:color w:val="000000"/>
                <w:kern w:val="0"/>
                <w:szCs w:val="21"/>
              </w:rPr>
            </w:pPr>
            <w:r>
              <w:rPr>
                <w:rFonts w:hint="default" w:ascii="Times New Roman" w:hAnsi="Times New Roman" w:eastAsia="黑体" w:cs="Times New Roman"/>
                <w:color w:val="000000"/>
                <w:kern w:val="0"/>
                <w:szCs w:val="21"/>
              </w:rPr>
              <w:t>企业（家）</w:t>
            </w:r>
          </w:p>
        </w:tc>
        <w:tc>
          <w:tcPr>
            <w:tcW w:w="1276" w:type="dxa"/>
            <w:tcBorders>
              <w:top w:val="single" w:color="000000" w:sz="8" w:space="0"/>
              <w:left w:val="single" w:color="000000" w:sz="8" w:space="0"/>
              <w:bottom w:val="single" w:color="000000" w:sz="8" w:space="0"/>
              <w:right w:val="single" w:color="000000" w:sz="8" w:space="0"/>
            </w:tcBorders>
            <w:noWrap w:val="0"/>
            <w:tcMar>
              <w:top w:w="15" w:type="dxa"/>
              <w:left w:w="15" w:type="dxa"/>
              <w:bottom w:w="15" w:type="dxa"/>
              <w:right w:w="15" w:type="dxa"/>
            </w:tcMar>
            <w:vAlign w:val="center"/>
          </w:tcPr>
          <w:p w14:paraId="2BAE2FC2">
            <w:pPr>
              <w:keepNext w:val="0"/>
              <w:keepLines w:val="0"/>
              <w:pageBreakBefore w:val="0"/>
              <w:widowControl/>
              <w:kinsoku/>
              <w:wordWrap/>
              <w:overflowPunct/>
              <w:topLinePunct w:val="0"/>
              <w:bidi w:val="0"/>
              <w:spacing w:line="560" w:lineRule="exact"/>
              <w:jc w:val="center"/>
              <w:textAlignment w:val="center"/>
              <w:rPr>
                <w:rFonts w:hint="default" w:ascii="Times New Roman" w:hAnsi="Times New Roman" w:eastAsia="黑体" w:cs="Times New Roman"/>
                <w:color w:val="000000"/>
                <w:kern w:val="0"/>
                <w:szCs w:val="21"/>
              </w:rPr>
            </w:pPr>
            <w:r>
              <w:rPr>
                <w:rFonts w:hint="default" w:ascii="Times New Roman" w:hAnsi="Times New Roman" w:eastAsia="黑体" w:cs="Times New Roman"/>
                <w:color w:val="000000"/>
                <w:kern w:val="0"/>
                <w:szCs w:val="21"/>
              </w:rPr>
              <w:t>重点检查</w:t>
            </w:r>
          </w:p>
          <w:p w14:paraId="346724BB">
            <w:pPr>
              <w:keepNext w:val="0"/>
              <w:keepLines w:val="0"/>
              <w:pageBreakBefore w:val="0"/>
              <w:widowControl/>
              <w:kinsoku/>
              <w:wordWrap/>
              <w:overflowPunct/>
              <w:topLinePunct w:val="0"/>
              <w:bidi w:val="0"/>
              <w:spacing w:line="560" w:lineRule="exact"/>
              <w:jc w:val="center"/>
              <w:textAlignment w:val="center"/>
              <w:rPr>
                <w:rFonts w:hint="default" w:ascii="Times New Roman" w:hAnsi="Times New Roman" w:eastAsia="黑体" w:cs="Times New Roman"/>
                <w:color w:val="000000"/>
                <w:kern w:val="0"/>
                <w:szCs w:val="21"/>
              </w:rPr>
            </w:pPr>
            <w:r>
              <w:rPr>
                <w:rFonts w:hint="default" w:ascii="Times New Roman" w:hAnsi="Times New Roman" w:eastAsia="黑体" w:cs="Times New Roman"/>
                <w:color w:val="000000"/>
                <w:kern w:val="0"/>
                <w:szCs w:val="21"/>
              </w:rPr>
              <w:t>企业（家）</w:t>
            </w:r>
          </w:p>
        </w:tc>
        <w:tc>
          <w:tcPr>
            <w:tcW w:w="1134" w:type="dxa"/>
            <w:tcBorders>
              <w:top w:val="single" w:color="000000" w:sz="8" w:space="0"/>
              <w:left w:val="single" w:color="000000" w:sz="8" w:space="0"/>
              <w:bottom w:val="single" w:color="000000" w:sz="8" w:space="0"/>
              <w:right w:val="single" w:color="auto" w:sz="4" w:space="0"/>
            </w:tcBorders>
            <w:noWrap w:val="0"/>
            <w:tcMar>
              <w:top w:w="15" w:type="dxa"/>
              <w:left w:w="15" w:type="dxa"/>
              <w:bottom w:w="15" w:type="dxa"/>
              <w:right w:w="15" w:type="dxa"/>
            </w:tcMar>
            <w:vAlign w:val="center"/>
          </w:tcPr>
          <w:p w14:paraId="67AEFFCA">
            <w:pPr>
              <w:keepNext w:val="0"/>
              <w:keepLines w:val="0"/>
              <w:pageBreakBefore w:val="0"/>
              <w:widowControl/>
              <w:kinsoku/>
              <w:wordWrap/>
              <w:overflowPunct/>
              <w:topLinePunct w:val="0"/>
              <w:bidi w:val="0"/>
              <w:spacing w:line="560" w:lineRule="exact"/>
              <w:jc w:val="center"/>
              <w:textAlignment w:val="center"/>
              <w:rPr>
                <w:rFonts w:hint="default" w:ascii="Times New Roman" w:hAnsi="Times New Roman" w:eastAsia="黑体" w:cs="Times New Roman"/>
                <w:color w:val="000000"/>
                <w:kern w:val="0"/>
                <w:szCs w:val="21"/>
              </w:rPr>
            </w:pPr>
            <w:r>
              <w:rPr>
                <w:rFonts w:hint="default" w:ascii="Times New Roman" w:hAnsi="Times New Roman" w:eastAsia="黑体" w:cs="Times New Roman"/>
                <w:color w:val="000000"/>
                <w:kern w:val="0"/>
                <w:szCs w:val="21"/>
              </w:rPr>
              <w:t>一般检查</w:t>
            </w:r>
          </w:p>
          <w:p w14:paraId="2C099063">
            <w:pPr>
              <w:keepNext w:val="0"/>
              <w:keepLines w:val="0"/>
              <w:pageBreakBefore w:val="0"/>
              <w:widowControl/>
              <w:kinsoku/>
              <w:wordWrap/>
              <w:overflowPunct/>
              <w:topLinePunct w:val="0"/>
              <w:bidi w:val="0"/>
              <w:spacing w:line="560" w:lineRule="exact"/>
              <w:jc w:val="center"/>
              <w:textAlignment w:val="center"/>
              <w:rPr>
                <w:rFonts w:hint="default" w:ascii="Times New Roman" w:hAnsi="Times New Roman" w:eastAsia="黑体" w:cs="Times New Roman"/>
                <w:color w:val="000000"/>
                <w:kern w:val="0"/>
                <w:szCs w:val="21"/>
              </w:rPr>
            </w:pPr>
            <w:r>
              <w:rPr>
                <w:rFonts w:hint="default" w:ascii="Times New Roman" w:hAnsi="Times New Roman" w:eastAsia="黑体" w:cs="Times New Roman"/>
                <w:color w:val="000000"/>
                <w:kern w:val="0"/>
                <w:szCs w:val="21"/>
              </w:rPr>
              <w:t>企业（家）</w:t>
            </w:r>
          </w:p>
        </w:tc>
        <w:tc>
          <w:tcPr>
            <w:tcW w:w="1187" w:type="dxa"/>
            <w:tcBorders>
              <w:top w:val="single" w:color="000000" w:sz="8" w:space="0"/>
              <w:left w:val="single" w:color="000000" w:sz="8" w:space="0"/>
              <w:bottom w:val="single" w:color="000000" w:sz="8" w:space="0"/>
              <w:right w:val="single" w:color="000000" w:sz="8" w:space="0"/>
            </w:tcBorders>
            <w:noWrap w:val="0"/>
            <w:tcMar>
              <w:top w:w="15" w:type="dxa"/>
              <w:left w:w="15" w:type="dxa"/>
              <w:bottom w:w="15" w:type="dxa"/>
              <w:right w:w="15" w:type="dxa"/>
            </w:tcMar>
            <w:vAlign w:val="center"/>
          </w:tcPr>
          <w:p w14:paraId="56F8DB5D">
            <w:pPr>
              <w:keepNext w:val="0"/>
              <w:keepLines w:val="0"/>
              <w:pageBreakBefore w:val="0"/>
              <w:widowControl/>
              <w:kinsoku/>
              <w:wordWrap/>
              <w:overflowPunct/>
              <w:topLinePunct w:val="0"/>
              <w:bidi w:val="0"/>
              <w:spacing w:line="560" w:lineRule="exact"/>
              <w:jc w:val="center"/>
              <w:textAlignment w:val="center"/>
              <w:rPr>
                <w:rFonts w:hint="default" w:ascii="Times New Roman" w:hAnsi="Times New Roman" w:eastAsia="黑体" w:cs="Times New Roman"/>
                <w:color w:val="000000"/>
                <w:kern w:val="0"/>
                <w:szCs w:val="21"/>
              </w:rPr>
            </w:pPr>
            <w:r>
              <w:rPr>
                <w:rFonts w:hint="default" w:ascii="Times New Roman" w:hAnsi="Times New Roman" w:eastAsia="黑体" w:cs="Times New Roman"/>
                <w:color w:val="000000"/>
                <w:kern w:val="0"/>
                <w:szCs w:val="21"/>
              </w:rPr>
              <w:t>重点检查</w:t>
            </w:r>
          </w:p>
          <w:p w14:paraId="78500A4C">
            <w:pPr>
              <w:keepNext w:val="0"/>
              <w:keepLines w:val="0"/>
              <w:pageBreakBefore w:val="0"/>
              <w:widowControl/>
              <w:kinsoku/>
              <w:wordWrap/>
              <w:overflowPunct/>
              <w:topLinePunct w:val="0"/>
              <w:bidi w:val="0"/>
              <w:spacing w:line="560" w:lineRule="exact"/>
              <w:jc w:val="center"/>
              <w:textAlignment w:val="center"/>
              <w:rPr>
                <w:rFonts w:hint="default" w:ascii="Times New Roman" w:hAnsi="Times New Roman" w:eastAsia="黑体" w:cs="Times New Roman"/>
                <w:color w:val="000000"/>
                <w:kern w:val="0"/>
                <w:szCs w:val="21"/>
              </w:rPr>
            </w:pPr>
            <w:r>
              <w:rPr>
                <w:rFonts w:hint="default" w:ascii="Times New Roman" w:hAnsi="Times New Roman" w:eastAsia="黑体" w:cs="Times New Roman"/>
                <w:color w:val="000000"/>
                <w:kern w:val="0"/>
                <w:szCs w:val="21"/>
              </w:rPr>
              <w:t>企业（家）</w:t>
            </w:r>
          </w:p>
        </w:tc>
        <w:tc>
          <w:tcPr>
            <w:tcW w:w="1134" w:type="dxa"/>
            <w:tcBorders>
              <w:top w:val="single" w:color="000000" w:sz="8" w:space="0"/>
              <w:left w:val="single" w:color="000000" w:sz="8" w:space="0"/>
              <w:bottom w:val="single" w:color="000000" w:sz="8" w:space="0"/>
              <w:right w:val="single" w:color="auto" w:sz="4" w:space="0"/>
            </w:tcBorders>
            <w:noWrap w:val="0"/>
            <w:tcMar>
              <w:top w:w="15" w:type="dxa"/>
              <w:left w:w="15" w:type="dxa"/>
              <w:bottom w:w="15" w:type="dxa"/>
              <w:right w:w="15" w:type="dxa"/>
            </w:tcMar>
            <w:vAlign w:val="center"/>
          </w:tcPr>
          <w:p w14:paraId="7D7088E3">
            <w:pPr>
              <w:keepNext w:val="0"/>
              <w:keepLines w:val="0"/>
              <w:pageBreakBefore w:val="0"/>
              <w:widowControl/>
              <w:kinsoku/>
              <w:wordWrap/>
              <w:overflowPunct/>
              <w:topLinePunct w:val="0"/>
              <w:bidi w:val="0"/>
              <w:spacing w:line="560" w:lineRule="exact"/>
              <w:jc w:val="center"/>
              <w:textAlignment w:val="center"/>
              <w:rPr>
                <w:rFonts w:hint="default" w:ascii="Times New Roman" w:hAnsi="Times New Roman" w:eastAsia="黑体" w:cs="Times New Roman"/>
                <w:color w:val="000000"/>
                <w:kern w:val="0"/>
                <w:szCs w:val="21"/>
              </w:rPr>
            </w:pPr>
            <w:r>
              <w:rPr>
                <w:rFonts w:hint="default" w:ascii="Times New Roman" w:hAnsi="Times New Roman" w:eastAsia="黑体" w:cs="Times New Roman"/>
                <w:color w:val="000000"/>
                <w:kern w:val="0"/>
                <w:szCs w:val="21"/>
              </w:rPr>
              <w:t>一般检查</w:t>
            </w:r>
          </w:p>
          <w:p w14:paraId="7D78351B">
            <w:pPr>
              <w:keepNext w:val="0"/>
              <w:keepLines w:val="0"/>
              <w:pageBreakBefore w:val="0"/>
              <w:widowControl/>
              <w:kinsoku/>
              <w:wordWrap/>
              <w:overflowPunct/>
              <w:topLinePunct w:val="0"/>
              <w:bidi w:val="0"/>
              <w:spacing w:line="560" w:lineRule="exact"/>
              <w:jc w:val="center"/>
              <w:textAlignment w:val="center"/>
              <w:rPr>
                <w:rFonts w:hint="default" w:ascii="Times New Roman" w:hAnsi="Times New Roman" w:eastAsia="黑体" w:cs="Times New Roman"/>
                <w:color w:val="000000"/>
                <w:kern w:val="0"/>
                <w:szCs w:val="21"/>
              </w:rPr>
            </w:pPr>
            <w:r>
              <w:rPr>
                <w:rFonts w:hint="default" w:ascii="Times New Roman" w:hAnsi="Times New Roman" w:eastAsia="黑体" w:cs="Times New Roman"/>
                <w:color w:val="000000"/>
                <w:kern w:val="0"/>
                <w:szCs w:val="21"/>
              </w:rPr>
              <w:t>企业（家）</w:t>
            </w:r>
          </w:p>
        </w:tc>
        <w:tc>
          <w:tcPr>
            <w:tcW w:w="708" w:type="dxa"/>
            <w:vMerge w:val="continue"/>
            <w:tcBorders>
              <w:top w:val="single" w:color="000000" w:sz="8" w:space="0"/>
              <w:left w:val="single" w:color="000000" w:sz="8" w:space="0"/>
              <w:bottom w:val="single" w:color="000000" w:sz="8" w:space="0"/>
              <w:right w:val="single" w:color="000000" w:sz="8" w:space="0"/>
            </w:tcBorders>
            <w:noWrap w:val="0"/>
            <w:vAlign w:val="center"/>
          </w:tcPr>
          <w:p w14:paraId="47431A0F">
            <w:pPr>
              <w:keepNext w:val="0"/>
              <w:keepLines w:val="0"/>
              <w:pageBreakBefore w:val="0"/>
              <w:widowControl/>
              <w:kinsoku/>
              <w:wordWrap/>
              <w:overflowPunct/>
              <w:topLinePunct w:val="0"/>
              <w:bidi w:val="0"/>
              <w:spacing w:line="560" w:lineRule="exact"/>
              <w:jc w:val="left"/>
              <w:rPr>
                <w:rFonts w:hint="default" w:ascii="Times New Roman" w:hAnsi="Times New Roman" w:eastAsia="仿宋_GB2312" w:cs="Times New Roman"/>
                <w:color w:val="000000"/>
                <w:kern w:val="0"/>
                <w:szCs w:val="21"/>
              </w:rPr>
            </w:pPr>
          </w:p>
        </w:tc>
      </w:tr>
      <w:tr w14:paraId="01410B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652" w:hRule="exact"/>
        </w:trPr>
        <w:tc>
          <w:tcPr>
            <w:tcW w:w="2543" w:type="dxa"/>
            <w:tcBorders>
              <w:top w:val="single" w:color="000000" w:sz="8" w:space="0"/>
              <w:left w:val="single" w:color="000000" w:sz="8" w:space="0"/>
              <w:bottom w:val="single" w:color="000000" w:sz="8" w:space="0"/>
              <w:right w:val="single" w:color="000000" w:sz="8" w:space="0"/>
            </w:tcBorders>
            <w:noWrap w:val="0"/>
            <w:tcMar>
              <w:top w:w="15" w:type="dxa"/>
              <w:left w:w="15" w:type="dxa"/>
              <w:bottom w:w="15" w:type="dxa"/>
              <w:right w:w="15" w:type="dxa"/>
            </w:tcMar>
            <w:vAlign w:val="center"/>
          </w:tcPr>
          <w:p w14:paraId="0909DE89">
            <w:pPr>
              <w:keepNext w:val="0"/>
              <w:keepLines w:val="0"/>
              <w:pageBreakBefore w:val="0"/>
              <w:widowControl/>
              <w:kinsoku/>
              <w:wordWrap/>
              <w:overflowPunct/>
              <w:topLinePunct w:val="0"/>
              <w:bidi w:val="0"/>
              <w:spacing w:line="560" w:lineRule="exact"/>
              <w:textAlignment w:val="center"/>
              <w:rPr>
                <w:rFonts w:hint="default" w:ascii="Times New Roman" w:hAnsi="Times New Roman" w:eastAsia="仿宋_GB2312" w:cs="Times New Roman"/>
                <w:color w:val="000000"/>
                <w:spacing w:val="-6"/>
                <w:kern w:val="0"/>
                <w:szCs w:val="21"/>
                <w:lang w:eastAsia="zh-CN"/>
              </w:rPr>
            </w:pPr>
            <w:r>
              <w:rPr>
                <w:rFonts w:hint="default" w:ascii="Times New Roman" w:hAnsi="Times New Roman" w:eastAsia="仿宋_GB2312" w:cs="Times New Roman"/>
                <w:color w:val="000000"/>
                <w:spacing w:val="-6"/>
                <w:kern w:val="0"/>
                <w:szCs w:val="21"/>
                <w:lang w:eastAsia="zh-CN"/>
              </w:rPr>
              <w:t>综合办公室</w:t>
            </w:r>
          </w:p>
        </w:tc>
        <w:tc>
          <w:tcPr>
            <w:tcW w:w="1134" w:type="dxa"/>
            <w:tcBorders>
              <w:top w:val="single" w:color="000000" w:sz="8" w:space="0"/>
              <w:left w:val="single" w:color="000000" w:sz="8" w:space="0"/>
              <w:bottom w:val="single" w:color="000000" w:sz="8" w:space="0"/>
              <w:right w:val="single" w:color="000000" w:sz="8" w:space="0"/>
            </w:tcBorders>
            <w:noWrap w:val="0"/>
            <w:tcMar>
              <w:top w:w="15" w:type="dxa"/>
              <w:left w:w="15" w:type="dxa"/>
              <w:bottom w:w="15" w:type="dxa"/>
              <w:right w:w="15" w:type="dxa"/>
            </w:tcMar>
            <w:vAlign w:val="center"/>
          </w:tcPr>
          <w:p w14:paraId="268CDF6F">
            <w:pPr>
              <w:keepNext w:val="0"/>
              <w:keepLines w:val="0"/>
              <w:pageBreakBefore w:val="0"/>
              <w:kinsoku/>
              <w:wordWrap/>
              <w:overflowPunct/>
              <w:topLinePunct w:val="0"/>
              <w:bidi w:val="0"/>
              <w:spacing w:line="560" w:lineRule="exact"/>
              <w:jc w:val="center"/>
              <w:rPr>
                <w:rFonts w:hint="default" w:ascii="Times New Roman" w:hAnsi="Times New Roman" w:eastAsia="仿宋_GB2312" w:cs="Times New Roman"/>
                <w:color w:val="000000"/>
                <w:szCs w:val="21"/>
                <w:lang w:val="en-US" w:eastAsia="zh-CN"/>
              </w:rPr>
            </w:pPr>
            <w:r>
              <w:rPr>
                <w:rFonts w:hint="eastAsia" w:ascii="Times New Roman" w:hAnsi="Times New Roman" w:eastAsia="仿宋_GB2312" w:cs="Times New Roman"/>
                <w:color w:val="000000"/>
                <w:szCs w:val="21"/>
                <w:lang w:val="en-US" w:eastAsia="zh-CN"/>
              </w:rPr>
              <w:t>1</w:t>
            </w:r>
          </w:p>
        </w:tc>
        <w:tc>
          <w:tcPr>
            <w:tcW w:w="1276" w:type="dxa"/>
            <w:tcBorders>
              <w:top w:val="single" w:color="000000" w:sz="8" w:space="0"/>
              <w:left w:val="single" w:color="000000" w:sz="8" w:space="0"/>
              <w:bottom w:val="single" w:color="000000" w:sz="8" w:space="0"/>
              <w:right w:val="single" w:color="000000" w:sz="8" w:space="0"/>
            </w:tcBorders>
            <w:noWrap w:val="0"/>
            <w:tcMar>
              <w:top w:w="15" w:type="dxa"/>
              <w:left w:w="15" w:type="dxa"/>
              <w:bottom w:w="15" w:type="dxa"/>
              <w:right w:w="15" w:type="dxa"/>
            </w:tcMar>
            <w:vAlign w:val="center"/>
          </w:tcPr>
          <w:p w14:paraId="67BE656D">
            <w:pPr>
              <w:keepNext w:val="0"/>
              <w:keepLines w:val="0"/>
              <w:pageBreakBefore w:val="0"/>
              <w:kinsoku/>
              <w:wordWrap/>
              <w:overflowPunct/>
              <w:topLinePunct w:val="0"/>
              <w:bidi w:val="0"/>
              <w:spacing w:line="560" w:lineRule="exact"/>
              <w:jc w:val="center"/>
              <w:rPr>
                <w:rFonts w:hint="default" w:ascii="Times New Roman" w:hAnsi="Times New Roman" w:eastAsia="仿宋_GB2312" w:cs="Times New Roman"/>
                <w:color w:val="000000"/>
                <w:szCs w:val="21"/>
                <w:lang w:val="en-US" w:eastAsia="zh-CN"/>
              </w:rPr>
            </w:pPr>
            <w:r>
              <w:rPr>
                <w:rFonts w:hint="default" w:ascii="Times New Roman" w:hAnsi="Times New Roman" w:eastAsia="仿宋_GB2312" w:cs="Times New Roman"/>
                <w:color w:val="000000"/>
                <w:szCs w:val="21"/>
                <w:lang w:val="en-US" w:eastAsia="zh-CN"/>
              </w:rPr>
              <w:t>1</w:t>
            </w:r>
          </w:p>
        </w:tc>
        <w:tc>
          <w:tcPr>
            <w:tcW w:w="1275" w:type="dxa"/>
            <w:tcBorders>
              <w:top w:val="single" w:color="000000" w:sz="8" w:space="0"/>
              <w:left w:val="single" w:color="000000" w:sz="8" w:space="0"/>
              <w:bottom w:val="single" w:color="000000" w:sz="8" w:space="0"/>
              <w:right w:val="single" w:color="000000" w:sz="8" w:space="0"/>
            </w:tcBorders>
            <w:noWrap w:val="0"/>
            <w:tcMar>
              <w:top w:w="15" w:type="dxa"/>
              <w:left w:w="15" w:type="dxa"/>
              <w:bottom w:w="15" w:type="dxa"/>
              <w:right w:w="15" w:type="dxa"/>
            </w:tcMar>
            <w:vAlign w:val="center"/>
          </w:tcPr>
          <w:p w14:paraId="0EFE4CF8">
            <w:pPr>
              <w:keepNext w:val="0"/>
              <w:keepLines w:val="0"/>
              <w:pageBreakBefore w:val="0"/>
              <w:kinsoku/>
              <w:wordWrap/>
              <w:overflowPunct/>
              <w:topLinePunct w:val="0"/>
              <w:bidi w:val="0"/>
              <w:spacing w:line="560" w:lineRule="exact"/>
              <w:jc w:val="center"/>
              <w:rPr>
                <w:rFonts w:hint="default" w:ascii="Times New Roman" w:hAnsi="Times New Roman" w:eastAsia="仿宋_GB2312" w:cs="Times New Roman"/>
                <w:color w:val="000000"/>
                <w:szCs w:val="21"/>
                <w:lang w:val="en-US" w:eastAsia="zh-CN"/>
              </w:rPr>
            </w:pPr>
            <w:r>
              <w:rPr>
                <w:rFonts w:hint="eastAsia" w:ascii="Times New Roman" w:hAnsi="Times New Roman" w:eastAsia="仿宋_GB2312" w:cs="Times New Roman"/>
                <w:color w:val="000000"/>
                <w:szCs w:val="21"/>
                <w:lang w:val="en-US" w:eastAsia="zh-CN"/>
              </w:rPr>
              <w:t>1</w:t>
            </w:r>
          </w:p>
        </w:tc>
        <w:tc>
          <w:tcPr>
            <w:tcW w:w="1276" w:type="dxa"/>
            <w:tcBorders>
              <w:top w:val="single" w:color="000000" w:sz="8" w:space="0"/>
              <w:left w:val="single" w:color="000000" w:sz="8" w:space="0"/>
              <w:bottom w:val="single" w:color="000000" w:sz="8" w:space="0"/>
              <w:right w:val="single" w:color="000000" w:sz="8" w:space="0"/>
            </w:tcBorders>
            <w:noWrap w:val="0"/>
            <w:tcMar>
              <w:top w:w="15" w:type="dxa"/>
              <w:left w:w="15" w:type="dxa"/>
              <w:bottom w:w="15" w:type="dxa"/>
              <w:right w:w="15" w:type="dxa"/>
            </w:tcMar>
            <w:vAlign w:val="center"/>
          </w:tcPr>
          <w:p w14:paraId="1AE071F5">
            <w:pPr>
              <w:keepNext w:val="0"/>
              <w:keepLines w:val="0"/>
              <w:pageBreakBefore w:val="0"/>
              <w:kinsoku/>
              <w:wordWrap/>
              <w:overflowPunct/>
              <w:topLinePunct w:val="0"/>
              <w:bidi w:val="0"/>
              <w:spacing w:line="560" w:lineRule="exact"/>
              <w:jc w:val="center"/>
              <w:rPr>
                <w:rFonts w:hint="default" w:ascii="Times New Roman" w:hAnsi="Times New Roman" w:eastAsia="仿宋_GB2312" w:cs="Times New Roman"/>
                <w:color w:val="000000"/>
                <w:szCs w:val="21"/>
                <w:lang w:val="en-US" w:eastAsia="zh-CN"/>
              </w:rPr>
            </w:pPr>
            <w:r>
              <w:rPr>
                <w:rFonts w:hint="eastAsia" w:ascii="Times New Roman" w:hAnsi="Times New Roman" w:eastAsia="仿宋_GB2312" w:cs="Times New Roman"/>
                <w:color w:val="000000"/>
                <w:szCs w:val="21"/>
                <w:lang w:val="en-US" w:eastAsia="zh-CN"/>
              </w:rPr>
              <w:t>2</w:t>
            </w:r>
          </w:p>
        </w:tc>
        <w:tc>
          <w:tcPr>
            <w:tcW w:w="1276" w:type="dxa"/>
            <w:tcBorders>
              <w:top w:val="single" w:color="000000" w:sz="8" w:space="0"/>
              <w:left w:val="single" w:color="000000" w:sz="8" w:space="0"/>
              <w:bottom w:val="single" w:color="000000" w:sz="8" w:space="0"/>
              <w:right w:val="single" w:color="000000" w:sz="8" w:space="0"/>
            </w:tcBorders>
            <w:noWrap w:val="0"/>
            <w:tcMar>
              <w:top w:w="15" w:type="dxa"/>
              <w:left w:w="15" w:type="dxa"/>
              <w:bottom w:w="15" w:type="dxa"/>
              <w:right w:w="15" w:type="dxa"/>
            </w:tcMar>
            <w:vAlign w:val="center"/>
          </w:tcPr>
          <w:p w14:paraId="7EAE9981">
            <w:pPr>
              <w:keepNext w:val="0"/>
              <w:keepLines w:val="0"/>
              <w:pageBreakBefore w:val="0"/>
              <w:kinsoku/>
              <w:wordWrap/>
              <w:overflowPunct/>
              <w:topLinePunct w:val="0"/>
              <w:bidi w:val="0"/>
              <w:spacing w:line="560" w:lineRule="exact"/>
              <w:jc w:val="center"/>
              <w:rPr>
                <w:rFonts w:hint="default" w:ascii="Times New Roman" w:hAnsi="Times New Roman" w:eastAsia="仿宋_GB2312" w:cs="Times New Roman"/>
                <w:color w:val="000000"/>
                <w:szCs w:val="21"/>
                <w:lang w:val="en-US" w:eastAsia="zh-CN"/>
              </w:rPr>
            </w:pPr>
            <w:r>
              <w:rPr>
                <w:rFonts w:hint="eastAsia" w:ascii="Times New Roman" w:hAnsi="Times New Roman" w:eastAsia="仿宋_GB2312" w:cs="Times New Roman"/>
                <w:color w:val="000000"/>
                <w:szCs w:val="21"/>
                <w:lang w:val="en-US" w:eastAsia="zh-CN"/>
              </w:rPr>
              <w:t>1</w:t>
            </w:r>
          </w:p>
        </w:tc>
        <w:tc>
          <w:tcPr>
            <w:tcW w:w="1134" w:type="dxa"/>
            <w:tcBorders>
              <w:top w:val="single" w:color="000000" w:sz="8" w:space="0"/>
              <w:left w:val="single" w:color="000000" w:sz="8" w:space="0"/>
              <w:bottom w:val="single" w:color="000000" w:sz="8" w:space="0"/>
              <w:right w:val="single" w:color="000000" w:sz="8" w:space="0"/>
            </w:tcBorders>
            <w:noWrap w:val="0"/>
            <w:tcMar>
              <w:top w:w="15" w:type="dxa"/>
              <w:left w:w="15" w:type="dxa"/>
              <w:bottom w:w="15" w:type="dxa"/>
              <w:right w:w="15" w:type="dxa"/>
            </w:tcMar>
            <w:vAlign w:val="center"/>
          </w:tcPr>
          <w:p w14:paraId="73D61942">
            <w:pPr>
              <w:keepNext w:val="0"/>
              <w:keepLines w:val="0"/>
              <w:pageBreakBefore w:val="0"/>
              <w:kinsoku/>
              <w:wordWrap/>
              <w:overflowPunct/>
              <w:topLinePunct w:val="0"/>
              <w:bidi w:val="0"/>
              <w:spacing w:line="560" w:lineRule="exact"/>
              <w:jc w:val="center"/>
              <w:rPr>
                <w:rFonts w:hint="default" w:ascii="Times New Roman" w:hAnsi="Times New Roman" w:eastAsia="仿宋_GB2312" w:cs="Times New Roman"/>
                <w:color w:val="000000"/>
                <w:szCs w:val="21"/>
                <w:lang w:val="en-US" w:eastAsia="zh-CN"/>
              </w:rPr>
            </w:pPr>
            <w:r>
              <w:rPr>
                <w:rFonts w:hint="eastAsia" w:ascii="Times New Roman" w:hAnsi="Times New Roman" w:eastAsia="仿宋_GB2312" w:cs="Times New Roman"/>
                <w:color w:val="000000"/>
                <w:szCs w:val="21"/>
                <w:lang w:val="en-US" w:eastAsia="zh-CN"/>
              </w:rPr>
              <w:t>2</w:t>
            </w:r>
          </w:p>
        </w:tc>
        <w:tc>
          <w:tcPr>
            <w:tcW w:w="1187" w:type="dxa"/>
            <w:tcBorders>
              <w:top w:val="single" w:color="000000" w:sz="8" w:space="0"/>
              <w:left w:val="single" w:color="000000" w:sz="8" w:space="0"/>
              <w:bottom w:val="single" w:color="000000" w:sz="8" w:space="0"/>
              <w:right w:val="single" w:color="000000" w:sz="8" w:space="0"/>
            </w:tcBorders>
            <w:noWrap w:val="0"/>
            <w:tcMar>
              <w:top w:w="15" w:type="dxa"/>
              <w:left w:w="15" w:type="dxa"/>
              <w:bottom w:w="15" w:type="dxa"/>
              <w:right w:w="15" w:type="dxa"/>
            </w:tcMar>
            <w:vAlign w:val="center"/>
          </w:tcPr>
          <w:p w14:paraId="175E1DEF">
            <w:pPr>
              <w:keepNext w:val="0"/>
              <w:keepLines w:val="0"/>
              <w:pageBreakBefore w:val="0"/>
              <w:kinsoku/>
              <w:wordWrap/>
              <w:overflowPunct/>
              <w:topLinePunct w:val="0"/>
              <w:bidi w:val="0"/>
              <w:spacing w:line="560" w:lineRule="exact"/>
              <w:jc w:val="center"/>
              <w:rPr>
                <w:rFonts w:hint="default" w:ascii="Times New Roman" w:hAnsi="Times New Roman" w:eastAsia="仿宋_GB2312" w:cs="Times New Roman"/>
                <w:color w:val="000000"/>
                <w:szCs w:val="21"/>
                <w:lang w:val="en-US" w:eastAsia="zh-CN"/>
              </w:rPr>
            </w:pPr>
            <w:r>
              <w:rPr>
                <w:rFonts w:hint="eastAsia" w:ascii="Times New Roman" w:hAnsi="Times New Roman" w:eastAsia="仿宋_GB2312" w:cs="Times New Roman"/>
                <w:color w:val="000000"/>
                <w:szCs w:val="21"/>
                <w:lang w:val="en-US" w:eastAsia="zh-CN"/>
              </w:rPr>
              <w:t>1</w:t>
            </w:r>
          </w:p>
        </w:tc>
        <w:tc>
          <w:tcPr>
            <w:tcW w:w="1134" w:type="dxa"/>
            <w:tcBorders>
              <w:top w:val="single" w:color="000000" w:sz="8" w:space="0"/>
              <w:left w:val="single" w:color="000000" w:sz="8" w:space="0"/>
              <w:bottom w:val="single" w:color="000000" w:sz="8" w:space="0"/>
              <w:right w:val="single" w:color="000000" w:sz="8" w:space="0"/>
            </w:tcBorders>
            <w:noWrap w:val="0"/>
            <w:tcMar>
              <w:top w:w="15" w:type="dxa"/>
              <w:left w:w="15" w:type="dxa"/>
              <w:bottom w:w="15" w:type="dxa"/>
              <w:right w:w="15" w:type="dxa"/>
            </w:tcMar>
            <w:vAlign w:val="center"/>
          </w:tcPr>
          <w:p w14:paraId="0E227685">
            <w:pPr>
              <w:keepNext w:val="0"/>
              <w:keepLines w:val="0"/>
              <w:pageBreakBefore w:val="0"/>
              <w:kinsoku/>
              <w:wordWrap/>
              <w:overflowPunct/>
              <w:topLinePunct w:val="0"/>
              <w:bidi w:val="0"/>
              <w:spacing w:line="560" w:lineRule="exact"/>
              <w:jc w:val="center"/>
              <w:rPr>
                <w:rFonts w:hint="default" w:ascii="Times New Roman" w:hAnsi="Times New Roman" w:eastAsia="仿宋_GB2312" w:cs="Times New Roman"/>
                <w:color w:val="000000"/>
                <w:szCs w:val="21"/>
                <w:lang w:val="en-US" w:eastAsia="zh-CN"/>
              </w:rPr>
            </w:pPr>
            <w:r>
              <w:rPr>
                <w:rFonts w:hint="eastAsia" w:ascii="Times New Roman" w:hAnsi="Times New Roman" w:eastAsia="仿宋_GB2312" w:cs="Times New Roman"/>
                <w:color w:val="000000"/>
                <w:szCs w:val="21"/>
                <w:lang w:val="en-US" w:eastAsia="zh-CN"/>
              </w:rPr>
              <w:t>0</w:t>
            </w:r>
          </w:p>
        </w:tc>
        <w:tc>
          <w:tcPr>
            <w:tcW w:w="708" w:type="dxa"/>
            <w:tcBorders>
              <w:top w:val="single" w:color="000000" w:sz="8" w:space="0"/>
              <w:left w:val="single" w:color="000000" w:sz="8" w:space="0"/>
              <w:bottom w:val="single" w:color="000000" w:sz="8" w:space="0"/>
              <w:right w:val="single" w:color="000000" w:sz="8" w:space="0"/>
            </w:tcBorders>
            <w:noWrap w:val="0"/>
            <w:tcMar>
              <w:top w:w="15" w:type="dxa"/>
              <w:left w:w="15" w:type="dxa"/>
              <w:bottom w:w="15" w:type="dxa"/>
              <w:right w:w="15" w:type="dxa"/>
            </w:tcMar>
            <w:vAlign w:val="center"/>
          </w:tcPr>
          <w:p w14:paraId="6B5A1AB7">
            <w:pPr>
              <w:keepNext w:val="0"/>
              <w:keepLines w:val="0"/>
              <w:pageBreakBefore w:val="0"/>
              <w:kinsoku/>
              <w:wordWrap/>
              <w:overflowPunct/>
              <w:topLinePunct w:val="0"/>
              <w:bidi w:val="0"/>
              <w:spacing w:line="560" w:lineRule="exact"/>
              <w:jc w:val="center"/>
              <w:rPr>
                <w:rFonts w:hint="default" w:ascii="Times New Roman" w:hAnsi="Times New Roman" w:eastAsia="仿宋_GB2312" w:cs="Times New Roman"/>
                <w:color w:val="000000"/>
                <w:szCs w:val="21"/>
                <w:lang w:val="en-US" w:eastAsia="zh-CN"/>
              </w:rPr>
            </w:pPr>
            <w:r>
              <w:rPr>
                <w:rFonts w:hint="eastAsia" w:ascii="Times New Roman" w:hAnsi="Times New Roman" w:eastAsia="仿宋_GB2312" w:cs="Times New Roman"/>
                <w:color w:val="000000"/>
                <w:szCs w:val="21"/>
                <w:lang w:val="en-US" w:eastAsia="zh-CN"/>
              </w:rPr>
              <w:t>9</w:t>
            </w:r>
          </w:p>
        </w:tc>
      </w:tr>
      <w:tr w14:paraId="6CA796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554" w:hRule="exact"/>
        </w:trPr>
        <w:tc>
          <w:tcPr>
            <w:tcW w:w="2543" w:type="dxa"/>
            <w:tcBorders>
              <w:top w:val="single" w:color="000000" w:sz="8" w:space="0"/>
              <w:left w:val="single" w:color="000000" w:sz="8" w:space="0"/>
              <w:bottom w:val="single" w:color="000000" w:sz="8" w:space="0"/>
              <w:right w:val="single" w:color="000000" w:sz="8" w:space="0"/>
            </w:tcBorders>
            <w:noWrap w:val="0"/>
            <w:tcMar>
              <w:top w:w="15" w:type="dxa"/>
              <w:left w:w="15" w:type="dxa"/>
              <w:bottom w:w="15" w:type="dxa"/>
              <w:right w:w="15" w:type="dxa"/>
            </w:tcMar>
            <w:vAlign w:val="center"/>
          </w:tcPr>
          <w:p w14:paraId="4065F8E6">
            <w:pPr>
              <w:keepNext w:val="0"/>
              <w:keepLines w:val="0"/>
              <w:pageBreakBefore w:val="0"/>
              <w:widowControl/>
              <w:kinsoku/>
              <w:wordWrap/>
              <w:overflowPunct/>
              <w:topLinePunct w:val="0"/>
              <w:bidi w:val="0"/>
              <w:spacing w:line="560" w:lineRule="exact"/>
              <w:textAlignment w:val="center"/>
              <w:rPr>
                <w:rFonts w:hint="default" w:ascii="Times New Roman" w:hAnsi="Times New Roman" w:eastAsia="仿宋_GB2312" w:cs="Times New Roman"/>
                <w:color w:val="000000"/>
                <w:szCs w:val="21"/>
                <w:lang w:eastAsia="zh-CN"/>
              </w:rPr>
            </w:pPr>
            <w:r>
              <w:rPr>
                <w:rFonts w:hint="default" w:ascii="Times New Roman" w:hAnsi="Times New Roman" w:eastAsia="仿宋_GB2312" w:cs="Times New Roman"/>
                <w:color w:val="000000"/>
                <w:szCs w:val="21"/>
                <w:lang w:eastAsia="zh-CN"/>
              </w:rPr>
              <w:t>综合业务股</w:t>
            </w:r>
          </w:p>
        </w:tc>
        <w:tc>
          <w:tcPr>
            <w:tcW w:w="1134" w:type="dxa"/>
            <w:tcBorders>
              <w:top w:val="single" w:color="000000" w:sz="8" w:space="0"/>
              <w:left w:val="single" w:color="000000" w:sz="8" w:space="0"/>
              <w:bottom w:val="single" w:color="000000" w:sz="8" w:space="0"/>
              <w:right w:val="single" w:color="000000" w:sz="8" w:space="0"/>
            </w:tcBorders>
            <w:noWrap w:val="0"/>
            <w:tcMar>
              <w:top w:w="15" w:type="dxa"/>
              <w:left w:w="15" w:type="dxa"/>
              <w:bottom w:w="15" w:type="dxa"/>
              <w:right w:w="15" w:type="dxa"/>
            </w:tcMar>
            <w:vAlign w:val="center"/>
          </w:tcPr>
          <w:p w14:paraId="0C85E83C">
            <w:pPr>
              <w:keepNext w:val="0"/>
              <w:keepLines w:val="0"/>
              <w:pageBreakBefore w:val="0"/>
              <w:kinsoku/>
              <w:wordWrap/>
              <w:overflowPunct/>
              <w:topLinePunct w:val="0"/>
              <w:bidi w:val="0"/>
              <w:spacing w:line="560" w:lineRule="exact"/>
              <w:jc w:val="center"/>
              <w:rPr>
                <w:rFonts w:hint="default" w:ascii="Times New Roman" w:hAnsi="Times New Roman" w:eastAsia="仿宋_GB2312" w:cs="Times New Roman"/>
                <w:color w:val="000000"/>
                <w:szCs w:val="21"/>
                <w:lang w:val="en-US" w:eastAsia="zh-CN"/>
              </w:rPr>
            </w:pPr>
            <w:r>
              <w:rPr>
                <w:rFonts w:hint="eastAsia" w:ascii="Times New Roman" w:hAnsi="Times New Roman" w:eastAsia="仿宋_GB2312" w:cs="Times New Roman"/>
                <w:color w:val="000000"/>
                <w:szCs w:val="21"/>
                <w:lang w:val="en-US" w:eastAsia="zh-CN"/>
              </w:rPr>
              <w:t>1</w:t>
            </w:r>
          </w:p>
        </w:tc>
        <w:tc>
          <w:tcPr>
            <w:tcW w:w="1276" w:type="dxa"/>
            <w:tcBorders>
              <w:top w:val="single" w:color="000000" w:sz="8" w:space="0"/>
              <w:left w:val="single" w:color="000000" w:sz="8" w:space="0"/>
              <w:bottom w:val="single" w:color="000000" w:sz="8" w:space="0"/>
              <w:right w:val="single" w:color="000000" w:sz="8" w:space="0"/>
            </w:tcBorders>
            <w:noWrap w:val="0"/>
            <w:tcMar>
              <w:top w:w="15" w:type="dxa"/>
              <w:left w:w="15" w:type="dxa"/>
              <w:bottom w:w="15" w:type="dxa"/>
              <w:right w:w="15" w:type="dxa"/>
            </w:tcMar>
            <w:vAlign w:val="center"/>
          </w:tcPr>
          <w:p w14:paraId="5DEFE127">
            <w:pPr>
              <w:keepNext w:val="0"/>
              <w:keepLines w:val="0"/>
              <w:pageBreakBefore w:val="0"/>
              <w:kinsoku/>
              <w:wordWrap/>
              <w:overflowPunct/>
              <w:topLinePunct w:val="0"/>
              <w:bidi w:val="0"/>
              <w:spacing w:line="560" w:lineRule="exact"/>
              <w:jc w:val="center"/>
              <w:rPr>
                <w:rFonts w:hint="default" w:ascii="Times New Roman" w:hAnsi="Times New Roman" w:eastAsia="仿宋_GB2312" w:cs="Times New Roman"/>
                <w:color w:val="000000"/>
                <w:szCs w:val="21"/>
                <w:lang w:val="en-US" w:eastAsia="zh-CN"/>
              </w:rPr>
            </w:pPr>
            <w:r>
              <w:rPr>
                <w:rFonts w:hint="default" w:ascii="Times New Roman" w:hAnsi="Times New Roman" w:eastAsia="仿宋_GB2312" w:cs="Times New Roman"/>
                <w:color w:val="000000"/>
                <w:szCs w:val="21"/>
                <w:lang w:val="en-US" w:eastAsia="zh-CN"/>
              </w:rPr>
              <w:t>1</w:t>
            </w:r>
          </w:p>
        </w:tc>
        <w:tc>
          <w:tcPr>
            <w:tcW w:w="1275" w:type="dxa"/>
            <w:tcBorders>
              <w:top w:val="single" w:color="000000" w:sz="8" w:space="0"/>
              <w:left w:val="single" w:color="000000" w:sz="8" w:space="0"/>
              <w:bottom w:val="single" w:color="000000" w:sz="8" w:space="0"/>
              <w:right w:val="single" w:color="000000" w:sz="8" w:space="0"/>
            </w:tcBorders>
            <w:noWrap w:val="0"/>
            <w:tcMar>
              <w:top w:w="15" w:type="dxa"/>
              <w:left w:w="15" w:type="dxa"/>
              <w:bottom w:w="15" w:type="dxa"/>
              <w:right w:w="15" w:type="dxa"/>
            </w:tcMar>
            <w:vAlign w:val="center"/>
          </w:tcPr>
          <w:p w14:paraId="7FECBA4A">
            <w:pPr>
              <w:keepNext w:val="0"/>
              <w:keepLines w:val="0"/>
              <w:pageBreakBefore w:val="0"/>
              <w:kinsoku/>
              <w:wordWrap/>
              <w:overflowPunct/>
              <w:topLinePunct w:val="0"/>
              <w:bidi w:val="0"/>
              <w:spacing w:line="560" w:lineRule="exact"/>
              <w:jc w:val="center"/>
              <w:rPr>
                <w:rFonts w:hint="default" w:ascii="Times New Roman" w:hAnsi="Times New Roman" w:eastAsia="仿宋_GB2312" w:cs="Times New Roman"/>
                <w:color w:val="000000"/>
                <w:szCs w:val="21"/>
                <w:lang w:val="en-US" w:eastAsia="zh-CN"/>
              </w:rPr>
            </w:pPr>
            <w:r>
              <w:rPr>
                <w:rFonts w:hint="eastAsia" w:ascii="Times New Roman" w:hAnsi="Times New Roman" w:eastAsia="仿宋_GB2312" w:cs="Times New Roman"/>
                <w:color w:val="000000"/>
                <w:szCs w:val="21"/>
                <w:lang w:val="en-US" w:eastAsia="zh-CN"/>
              </w:rPr>
              <w:t>1</w:t>
            </w:r>
          </w:p>
        </w:tc>
        <w:tc>
          <w:tcPr>
            <w:tcW w:w="1276" w:type="dxa"/>
            <w:tcBorders>
              <w:top w:val="single" w:color="000000" w:sz="8" w:space="0"/>
              <w:left w:val="single" w:color="000000" w:sz="8" w:space="0"/>
              <w:bottom w:val="single" w:color="000000" w:sz="8" w:space="0"/>
              <w:right w:val="single" w:color="000000" w:sz="8" w:space="0"/>
            </w:tcBorders>
            <w:noWrap w:val="0"/>
            <w:tcMar>
              <w:top w:w="15" w:type="dxa"/>
              <w:left w:w="15" w:type="dxa"/>
              <w:bottom w:w="15" w:type="dxa"/>
              <w:right w:w="15" w:type="dxa"/>
            </w:tcMar>
            <w:vAlign w:val="center"/>
          </w:tcPr>
          <w:p w14:paraId="61A7086F">
            <w:pPr>
              <w:keepNext w:val="0"/>
              <w:keepLines w:val="0"/>
              <w:pageBreakBefore w:val="0"/>
              <w:kinsoku/>
              <w:wordWrap/>
              <w:overflowPunct/>
              <w:topLinePunct w:val="0"/>
              <w:bidi w:val="0"/>
              <w:spacing w:line="560" w:lineRule="exact"/>
              <w:jc w:val="center"/>
              <w:rPr>
                <w:rFonts w:hint="default" w:ascii="Times New Roman" w:hAnsi="Times New Roman" w:eastAsia="仿宋_GB2312" w:cs="Times New Roman"/>
                <w:color w:val="000000"/>
                <w:szCs w:val="21"/>
                <w:lang w:val="en-US" w:eastAsia="zh-CN"/>
              </w:rPr>
            </w:pPr>
            <w:r>
              <w:rPr>
                <w:rFonts w:hint="eastAsia" w:ascii="Times New Roman" w:hAnsi="Times New Roman" w:eastAsia="仿宋_GB2312" w:cs="Times New Roman"/>
                <w:color w:val="000000"/>
                <w:szCs w:val="21"/>
                <w:lang w:val="en-US" w:eastAsia="zh-CN"/>
              </w:rPr>
              <w:t>2</w:t>
            </w:r>
          </w:p>
        </w:tc>
        <w:tc>
          <w:tcPr>
            <w:tcW w:w="1276" w:type="dxa"/>
            <w:tcBorders>
              <w:top w:val="single" w:color="000000" w:sz="8" w:space="0"/>
              <w:left w:val="single" w:color="000000" w:sz="8" w:space="0"/>
              <w:bottom w:val="single" w:color="000000" w:sz="8" w:space="0"/>
              <w:right w:val="single" w:color="000000" w:sz="8" w:space="0"/>
            </w:tcBorders>
            <w:noWrap w:val="0"/>
            <w:tcMar>
              <w:top w:w="15" w:type="dxa"/>
              <w:left w:w="15" w:type="dxa"/>
              <w:bottom w:w="15" w:type="dxa"/>
              <w:right w:w="15" w:type="dxa"/>
            </w:tcMar>
            <w:vAlign w:val="center"/>
          </w:tcPr>
          <w:p w14:paraId="527C0FB6">
            <w:pPr>
              <w:keepNext w:val="0"/>
              <w:keepLines w:val="0"/>
              <w:pageBreakBefore w:val="0"/>
              <w:kinsoku/>
              <w:wordWrap/>
              <w:overflowPunct/>
              <w:topLinePunct w:val="0"/>
              <w:bidi w:val="0"/>
              <w:spacing w:line="560" w:lineRule="exact"/>
              <w:jc w:val="center"/>
              <w:rPr>
                <w:rFonts w:hint="default" w:ascii="Times New Roman" w:hAnsi="Times New Roman" w:eastAsia="仿宋_GB2312" w:cs="Times New Roman"/>
                <w:color w:val="000000"/>
                <w:szCs w:val="21"/>
                <w:lang w:val="en-US" w:eastAsia="zh-CN"/>
              </w:rPr>
            </w:pPr>
            <w:r>
              <w:rPr>
                <w:rFonts w:hint="eastAsia" w:ascii="Times New Roman" w:hAnsi="Times New Roman" w:eastAsia="仿宋_GB2312" w:cs="Times New Roman"/>
                <w:color w:val="000000"/>
                <w:szCs w:val="21"/>
                <w:lang w:val="en-US" w:eastAsia="zh-CN"/>
              </w:rPr>
              <w:t>1</w:t>
            </w:r>
          </w:p>
        </w:tc>
        <w:tc>
          <w:tcPr>
            <w:tcW w:w="1134" w:type="dxa"/>
            <w:tcBorders>
              <w:top w:val="single" w:color="000000" w:sz="8" w:space="0"/>
              <w:left w:val="single" w:color="000000" w:sz="8" w:space="0"/>
              <w:bottom w:val="single" w:color="000000" w:sz="8" w:space="0"/>
              <w:right w:val="single" w:color="000000" w:sz="8" w:space="0"/>
            </w:tcBorders>
            <w:noWrap w:val="0"/>
            <w:tcMar>
              <w:top w:w="15" w:type="dxa"/>
              <w:left w:w="15" w:type="dxa"/>
              <w:bottom w:w="15" w:type="dxa"/>
              <w:right w:w="15" w:type="dxa"/>
            </w:tcMar>
            <w:vAlign w:val="center"/>
          </w:tcPr>
          <w:p w14:paraId="6D9CFE31">
            <w:pPr>
              <w:keepNext w:val="0"/>
              <w:keepLines w:val="0"/>
              <w:pageBreakBefore w:val="0"/>
              <w:kinsoku/>
              <w:wordWrap/>
              <w:overflowPunct/>
              <w:topLinePunct w:val="0"/>
              <w:bidi w:val="0"/>
              <w:spacing w:line="560" w:lineRule="exact"/>
              <w:jc w:val="center"/>
              <w:rPr>
                <w:rFonts w:hint="default" w:ascii="Times New Roman" w:hAnsi="Times New Roman" w:eastAsia="仿宋_GB2312" w:cs="Times New Roman"/>
                <w:color w:val="000000"/>
                <w:szCs w:val="21"/>
                <w:lang w:val="en-US" w:eastAsia="zh-CN"/>
              </w:rPr>
            </w:pPr>
            <w:r>
              <w:rPr>
                <w:rFonts w:hint="eastAsia" w:ascii="Times New Roman" w:hAnsi="Times New Roman" w:eastAsia="仿宋_GB2312" w:cs="Times New Roman"/>
                <w:color w:val="000000"/>
                <w:szCs w:val="21"/>
                <w:lang w:val="en-US" w:eastAsia="zh-CN"/>
              </w:rPr>
              <w:t>2</w:t>
            </w:r>
          </w:p>
        </w:tc>
        <w:tc>
          <w:tcPr>
            <w:tcW w:w="1187" w:type="dxa"/>
            <w:tcBorders>
              <w:top w:val="single" w:color="000000" w:sz="8" w:space="0"/>
              <w:left w:val="single" w:color="000000" w:sz="8" w:space="0"/>
              <w:bottom w:val="single" w:color="000000" w:sz="8" w:space="0"/>
              <w:right w:val="single" w:color="000000" w:sz="8" w:space="0"/>
            </w:tcBorders>
            <w:noWrap w:val="0"/>
            <w:tcMar>
              <w:top w:w="15" w:type="dxa"/>
              <w:left w:w="15" w:type="dxa"/>
              <w:bottom w:w="15" w:type="dxa"/>
              <w:right w:w="15" w:type="dxa"/>
            </w:tcMar>
            <w:vAlign w:val="center"/>
          </w:tcPr>
          <w:p w14:paraId="1EB8ABAA">
            <w:pPr>
              <w:keepNext w:val="0"/>
              <w:keepLines w:val="0"/>
              <w:pageBreakBefore w:val="0"/>
              <w:kinsoku/>
              <w:wordWrap/>
              <w:overflowPunct/>
              <w:topLinePunct w:val="0"/>
              <w:bidi w:val="0"/>
              <w:spacing w:line="560" w:lineRule="exact"/>
              <w:jc w:val="center"/>
              <w:rPr>
                <w:rFonts w:hint="default" w:ascii="Times New Roman" w:hAnsi="Times New Roman" w:eastAsia="仿宋_GB2312" w:cs="Times New Roman"/>
                <w:color w:val="000000"/>
                <w:szCs w:val="21"/>
                <w:lang w:val="en-US" w:eastAsia="zh-CN"/>
              </w:rPr>
            </w:pPr>
            <w:r>
              <w:rPr>
                <w:rFonts w:hint="eastAsia" w:ascii="Times New Roman" w:hAnsi="Times New Roman" w:eastAsia="仿宋_GB2312" w:cs="Times New Roman"/>
                <w:color w:val="000000"/>
                <w:szCs w:val="21"/>
                <w:lang w:val="en-US" w:eastAsia="zh-CN"/>
              </w:rPr>
              <w:t>1</w:t>
            </w:r>
          </w:p>
        </w:tc>
        <w:tc>
          <w:tcPr>
            <w:tcW w:w="1134" w:type="dxa"/>
            <w:tcBorders>
              <w:top w:val="single" w:color="000000" w:sz="8" w:space="0"/>
              <w:left w:val="single" w:color="000000" w:sz="8" w:space="0"/>
              <w:bottom w:val="single" w:color="000000" w:sz="8" w:space="0"/>
              <w:right w:val="single" w:color="000000" w:sz="8" w:space="0"/>
            </w:tcBorders>
            <w:noWrap w:val="0"/>
            <w:tcMar>
              <w:top w:w="15" w:type="dxa"/>
              <w:left w:w="15" w:type="dxa"/>
              <w:bottom w:w="15" w:type="dxa"/>
              <w:right w:w="15" w:type="dxa"/>
            </w:tcMar>
            <w:vAlign w:val="center"/>
          </w:tcPr>
          <w:p w14:paraId="485DF248">
            <w:pPr>
              <w:keepNext w:val="0"/>
              <w:keepLines w:val="0"/>
              <w:pageBreakBefore w:val="0"/>
              <w:kinsoku/>
              <w:wordWrap/>
              <w:overflowPunct/>
              <w:topLinePunct w:val="0"/>
              <w:bidi w:val="0"/>
              <w:spacing w:line="560" w:lineRule="exact"/>
              <w:jc w:val="center"/>
              <w:rPr>
                <w:rFonts w:hint="default" w:ascii="Times New Roman" w:hAnsi="Times New Roman" w:eastAsia="仿宋_GB2312" w:cs="Times New Roman"/>
                <w:color w:val="000000"/>
                <w:szCs w:val="21"/>
                <w:lang w:val="en-US" w:eastAsia="zh-CN"/>
              </w:rPr>
            </w:pPr>
            <w:r>
              <w:rPr>
                <w:rFonts w:hint="eastAsia" w:ascii="Times New Roman" w:hAnsi="Times New Roman" w:eastAsia="仿宋_GB2312" w:cs="Times New Roman"/>
                <w:color w:val="000000"/>
                <w:szCs w:val="21"/>
                <w:lang w:val="en-US" w:eastAsia="zh-CN"/>
              </w:rPr>
              <w:t>0</w:t>
            </w:r>
          </w:p>
        </w:tc>
        <w:tc>
          <w:tcPr>
            <w:tcW w:w="708" w:type="dxa"/>
            <w:tcBorders>
              <w:top w:val="single" w:color="000000" w:sz="8" w:space="0"/>
              <w:left w:val="single" w:color="000000" w:sz="8" w:space="0"/>
              <w:bottom w:val="single" w:color="000000" w:sz="8" w:space="0"/>
              <w:right w:val="single" w:color="000000" w:sz="8" w:space="0"/>
            </w:tcBorders>
            <w:noWrap w:val="0"/>
            <w:tcMar>
              <w:top w:w="15" w:type="dxa"/>
              <w:left w:w="15" w:type="dxa"/>
              <w:bottom w:w="15" w:type="dxa"/>
              <w:right w:w="15" w:type="dxa"/>
            </w:tcMar>
            <w:vAlign w:val="center"/>
          </w:tcPr>
          <w:p w14:paraId="2FFDDDC1">
            <w:pPr>
              <w:keepNext w:val="0"/>
              <w:keepLines w:val="0"/>
              <w:pageBreakBefore w:val="0"/>
              <w:kinsoku/>
              <w:wordWrap/>
              <w:overflowPunct/>
              <w:topLinePunct w:val="0"/>
              <w:bidi w:val="0"/>
              <w:spacing w:line="560" w:lineRule="exact"/>
              <w:jc w:val="center"/>
              <w:rPr>
                <w:rFonts w:hint="default" w:ascii="Times New Roman" w:hAnsi="Times New Roman" w:eastAsia="仿宋_GB2312" w:cs="Times New Roman"/>
                <w:color w:val="000000"/>
                <w:szCs w:val="21"/>
                <w:lang w:val="en-US" w:eastAsia="zh-CN"/>
              </w:rPr>
            </w:pPr>
            <w:r>
              <w:rPr>
                <w:rFonts w:hint="eastAsia" w:ascii="Times New Roman" w:hAnsi="Times New Roman" w:eastAsia="仿宋_GB2312" w:cs="Times New Roman"/>
                <w:color w:val="000000"/>
                <w:szCs w:val="21"/>
                <w:lang w:val="en-US" w:eastAsia="zh-CN"/>
              </w:rPr>
              <w:t>9</w:t>
            </w:r>
          </w:p>
        </w:tc>
      </w:tr>
      <w:tr w14:paraId="0179C3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571" w:hRule="exact"/>
        </w:trPr>
        <w:tc>
          <w:tcPr>
            <w:tcW w:w="2543" w:type="dxa"/>
            <w:tcBorders>
              <w:top w:val="single" w:color="000000" w:sz="8" w:space="0"/>
              <w:left w:val="single" w:color="000000" w:sz="8" w:space="0"/>
              <w:bottom w:val="single" w:color="000000" w:sz="8" w:space="0"/>
              <w:right w:val="single" w:color="000000" w:sz="8" w:space="0"/>
            </w:tcBorders>
            <w:noWrap w:val="0"/>
            <w:tcMar>
              <w:top w:w="15" w:type="dxa"/>
              <w:left w:w="15" w:type="dxa"/>
              <w:bottom w:w="15" w:type="dxa"/>
              <w:right w:w="15" w:type="dxa"/>
            </w:tcMar>
            <w:vAlign w:val="center"/>
          </w:tcPr>
          <w:p w14:paraId="2BE45176">
            <w:pPr>
              <w:keepNext w:val="0"/>
              <w:keepLines w:val="0"/>
              <w:pageBreakBefore w:val="0"/>
              <w:widowControl/>
              <w:kinsoku/>
              <w:wordWrap/>
              <w:overflowPunct/>
              <w:topLinePunct w:val="0"/>
              <w:bidi w:val="0"/>
              <w:spacing w:line="560" w:lineRule="exact"/>
              <w:textAlignment w:val="center"/>
              <w:rPr>
                <w:rFonts w:hint="default" w:ascii="Times New Roman" w:hAnsi="Times New Roman" w:eastAsia="仿宋_GB2312" w:cs="Times New Roman"/>
                <w:color w:val="000000"/>
                <w:kern w:val="0"/>
                <w:szCs w:val="21"/>
                <w:lang w:eastAsia="zh-CN"/>
              </w:rPr>
            </w:pPr>
            <w:r>
              <w:rPr>
                <w:rFonts w:hint="default" w:ascii="Times New Roman" w:hAnsi="Times New Roman" w:eastAsia="仿宋_GB2312" w:cs="Times New Roman"/>
                <w:color w:val="000000"/>
                <w:kern w:val="0"/>
                <w:szCs w:val="21"/>
                <w:lang w:eastAsia="zh-CN"/>
              </w:rPr>
              <w:t>监察大队</w:t>
            </w:r>
          </w:p>
        </w:tc>
        <w:tc>
          <w:tcPr>
            <w:tcW w:w="1134" w:type="dxa"/>
            <w:tcBorders>
              <w:top w:val="single" w:color="000000" w:sz="8" w:space="0"/>
              <w:left w:val="single" w:color="000000" w:sz="8" w:space="0"/>
              <w:bottom w:val="single" w:color="000000" w:sz="8" w:space="0"/>
              <w:right w:val="single" w:color="000000" w:sz="8" w:space="0"/>
            </w:tcBorders>
            <w:noWrap w:val="0"/>
            <w:tcMar>
              <w:top w:w="15" w:type="dxa"/>
              <w:left w:w="15" w:type="dxa"/>
              <w:bottom w:w="15" w:type="dxa"/>
              <w:right w:w="15" w:type="dxa"/>
            </w:tcMar>
            <w:vAlign w:val="center"/>
          </w:tcPr>
          <w:p w14:paraId="3FFF4943">
            <w:pPr>
              <w:keepNext w:val="0"/>
              <w:keepLines w:val="0"/>
              <w:pageBreakBefore w:val="0"/>
              <w:kinsoku/>
              <w:wordWrap/>
              <w:overflowPunct/>
              <w:topLinePunct w:val="0"/>
              <w:bidi w:val="0"/>
              <w:spacing w:line="560" w:lineRule="exact"/>
              <w:jc w:val="center"/>
              <w:rPr>
                <w:rFonts w:hint="default" w:ascii="Times New Roman" w:hAnsi="Times New Roman" w:eastAsia="仿宋_GB2312" w:cs="Times New Roman"/>
                <w:color w:val="000000"/>
                <w:szCs w:val="21"/>
                <w:lang w:val="en-US" w:eastAsia="zh-CN"/>
              </w:rPr>
            </w:pPr>
            <w:r>
              <w:rPr>
                <w:rFonts w:hint="eastAsia" w:ascii="Times New Roman" w:hAnsi="Times New Roman" w:eastAsia="仿宋_GB2312" w:cs="Times New Roman"/>
                <w:color w:val="000000"/>
                <w:szCs w:val="21"/>
                <w:lang w:val="en-US" w:eastAsia="zh-CN"/>
              </w:rPr>
              <w:t>4</w:t>
            </w:r>
          </w:p>
        </w:tc>
        <w:tc>
          <w:tcPr>
            <w:tcW w:w="1276" w:type="dxa"/>
            <w:tcBorders>
              <w:top w:val="single" w:color="000000" w:sz="8" w:space="0"/>
              <w:left w:val="single" w:color="000000" w:sz="8" w:space="0"/>
              <w:bottom w:val="single" w:color="000000" w:sz="8" w:space="0"/>
              <w:right w:val="single" w:color="000000" w:sz="8" w:space="0"/>
            </w:tcBorders>
            <w:noWrap w:val="0"/>
            <w:tcMar>
              <w:top w:w="15" w:type="dxa"/>
              <w:left w:w="15" w:type="dxa"/>
              <w:bottom w:w="15" w:type="dxa"/>
              <w:right w:w="15" w:type="dxa"/>
            </w:tcMar>
            <w:vAlign w:val="center"/>
          </w:tcPr>
          <w:p w14:paraId="544920F0">
            <w:pPr>
              <w:keepNext w:val="0"/>
              <w:keepLines w:val="0"/>
              <w:pageBreakBefore w:val="0"/>
              <w:kinsoku/>
              <w:wordWrap/>
              <w:overflowPunct/>
              <w:topLinePunct w:val="0"/>
              <w:bidi w:val="0"/>
              <w:spacing w:line="560" w:lineRule="exact"/>
              <w:jc w:val="center"/>
              <w:rPr>
                <w:rFonts w:hint="default" w:ascii="Times New Roman" w:hAnsi="Times New Roman" w:eastAsia="仿宋_GB2312" w:cs="Times New Roman"/>
                <w:color w:val="000000"/>
                <w:szCs w:val="21"/>
                <w:lang w:val="en-US" w:eastAsia="zh-CN"/>
              </w:rPr>
            </w:pPr>
            <w:r>
              <w:rPr>
                <w:rFonts w:hint="eastAsia" w:ascii="Times New Roman" w:hAnsi="Times New Roman" w:eastAsia="仿宋_GB2312" w:cs="Times New Roman"/>
                <w:color w:val="000000"/>
                <w:szCs w:val="21"/>
                <w:lang w:val="en-US" w:eastAsia="zh-CN"/>
              </w:rPr>
              <w:t>2</w:t>
            </w:r>
          </w:p>
        </w:tc>
        <w:tc>
          <w:tcPr>
            <w:tcW w:w="1275" w:type="dxa"/>
            <w:tcBorders>
              <w:top w:val="single" w:color="000000" w:sz="8" w:space="0"/>
              <w:left w:val="single" w:color="000000" w:sz="8" w:space="0"/>
              <w:bottom w:val="single" w:color="000000" w:sz="8" w:space="0"/>
              <w:right w:val="single" w:color="000000" w:sz="8" w:space="0"/>
            </w:tcBorders>
            <w:noWrap w:val="0"/>
            <w:tcMar>
              <w:top w:w="15" w:type="dxa"/>
              <w:left w:w="15" w:type="dxa"/>
              <w:bottom w:w="15" w:type="dxa"/>
              <w:right w:w="15" w:type="dxa"/>
            </w:tcMar>
            <w:vAlign w:val="center"/>
          </w:tcPr>
          <w:p w14:paraId="60247474">
            <w:pPr>
              <w:keepNext w:val="0"/>
              <w:keepLines w:val="0"/>
              <w:pageBreakBefore w:val="0"/>
              <w:kinsoku/>
              <w:wordWrap/>
              <w:overflowPunct/>
              <w:topLinePunct w:val="0"/>
              <w:bidi w:val="0"/>
              <w:spacing w:line="560" w:lineRule="exact"/>
              <w:jc w:val="center"/>
              <w:rPr>
                <w:rFonts w:hint="default" w:ascii="Times New Roman" w:hAnsi="Times New Roman" w:eastAsia="仿宋_GB2312" w:cs="Times New Roman"/>
                <w:color w:val="000000"/>
                <w:szCs w:val="21"/>
                <w:lang w:val="en-US" w:eastAsia="zh-CN"/>
              </w:rPr>
            </w:pPr>
            <w:r>
              <w:rPr>
                <w:rFonts w:hint="eastAsia" w:ascii="Times New Roman" w:hAnsi="Times New Roman" w:eastAsia="仿宋_GB2312" w:cs="Times New Roman"/>
                <w:color w:val="000000"/>
                <w:szCs w:val="21"/>
                <w:lang w:val="en-US" w:eastAsia="zh-CN"/>
              </w:rPr>
              <w:t>8</w:t>
            </w:r>
          </w:p>
        </w:tc>
        <w:tc>
          <w:tcPr>
            <w:tcW w:w="1276" w:type="dxa"/>
            <w:tcBorders>
              <w:top w:val="single" w:color="000000" w:sz="8" w:space="0"/>
              <w:left w:val="single" w:color="000000" w:sz="8" w:space="0"/>
              <w:bottom w:val="single" w:color="000000" w:sz="8" w:space="0"/>
              <w:right w:val="single" w:color="000000" w:sz="8" w:space="0"/>
            </w:tcBorders>
            <w:noWrap w:val="0"/>
            <w:tcMar>
              <w:top w:w="15" w:type="dxa"/>
              <w:left w:w="15" w:type="dxa"/>
              <w:bottom w:w="15" w:type="dxa"/>
              <w:right w:w="15" w:type="dxa"/>
            </w:tcMar>
            <w:vAlign w:val="center"/>
          </w:tcPr>
          <w:p w14:paraId="1A02C8D8">
            <w:pPr>
              <w:keepNext w:val="0"/>
              <w:keepLines w:val="0"/>
              <w:pageBreakBefore w:val="0"/>
              <w:kinsoku/>
              <w:wordWrap/>
              <w:overflowPunct/>
              <w:topLinePunct w:val="0"/>
              <w:bidi w:val="0"/>
              <w:spacing w:line="560" w:lineRule="exact"/>
              <w:jc w:val="center"/>
              <w:rPr>
                <w:rFonts w:hint="default" w:ascii="Times New Roman" w:hAnsi="Times New Roman" w:eastAsia="仿宋_GB2312" w:cs="Times New Roman"/>
                <w:color w:val="000000"/>
                <w:szCs w:val="21"/>
                <w:lang w:val="en-US" w:eastAsia="zh-CN"/>
              </w:rPr>
            </w:pPr>
            <w:r>
              <w:rPr>
                <w:rFonts w:hint="eastAsia" w:ascii="Times New Roman" w:hAnsi="Times New Roman" w:eastAsia="仿宋_GB2312" w:cs="Times New Roman"/>
                <w:color w:val="000000"/>
                <w:szCs w:val="21"/>
                <w:lang w:val="en-US" w:eastAsia="zh-CN"/>
              </w:rPr>
              <w:t>2</w:t>
            </w:r>
          </w:p>
        </w:tc>
        <w:tc>
          <w:tcPr>
            <w:tcW w:w="1276" w:type="dxa"/>
            <w:tcBorders>
              <w:top w:val="single" w:color="000000" w:sz="8" w:space="0"/>
              <w:left w:val="single" w:color="000000" w:sz="8" w:space="0"/>
              <w:bottom w:val="single" w:color="000000" w:sz="8" w:space="0"/>
              <w:right w:val="single" w:color="000000" w:sz="8" w:space="0"/>
            </w:tcBorders>
            <w:noWrap w:val="0"/>
            <w:tcMar>
              <w:top w:w="15" w:type="dxa"/>
              <w:left w:w="15" w:type="dxa"/>
              <w:bottom w:w="15" w:type="dxa"/>
              <w:right w:w="15" w:type="dxa"/>
            </w:tcMar>
            <w:vAlign w:val="center"/>
          </w:tcPr>
          <w:p w14:paraId="04F9241D">
            <w:pPr>
              <w:keepNext w:val="0"/>
              <w:keepLines w:val="0"/>
              <w:pageBreakBefore w:val="0"/>
              <w:kinsoku/>
              <w:wordWrap/>
              <w:overflowPunct/>
              <w:topLinePunct w:val="0"/>
              <w:bidi w:val="0"/>
              <w:spacing w:line="560" w:lineRule="exact"/>
              <w:jc w:val="center"/>
              <w:rPr>
                <w:rFonts w:hint="default" w:ascii="Times New Roman" w:hAnsi="Times New Roman" w:eastAsia="仿宋_GB2312" w:cs="Times New Roman"/>
                <w:color w:val="000000"/>
                <w:szCs w:val="21"/>
                <w:lang w:val="en-US" w:eastAsia="zh-CN"/>
              </w:rPr>
            </w:pPr>
            <w:r>
              <w:rPr>
                <w:rFonts w:hint="eastAsia" w:ascii="Times New Roman" w:hAnsi="Times New Roman" w:eastAsia="仿宋_GB2312" w:cs="Times New Roman"/>
                <w:color w:val="000000"/>
                <w:szCs w:val="21"/>
                <w:lang w:val="en-US" w:eastAsia="zh-CN"/>
              </w:rPr>
              <w:t>8</w:t>
            </w:r>
          </w:p>
        </w:tc>
        <w:tc>
          <w:tcPr>
            <w:tcW w:w="1134" w:type="dxa"/>
            <w:tcBorders>
              <w:top w:val="single" w:color="000000" w:sz="8" w:space="0"/>
              <w:left w:val="single" w:color="000000" w:sz="8" w:space="0"/>
              <w:bottom w:val="single" w:color="000000" w:sz="8" w:space="0"/>
              <w:right w:val="single" w:color="000000" w:sz="8" w:space="0"/>
            </w:tcBorders>
            <w:noWrap w:val="0"/>
            <w:tcMar>
              <w:top w:w="15" w:type="dxa"/>
              <w:left w:w="15" w:type="dxa"/>
              <w:bottom w:w="15" w:type="dxa"/>
              <w:right w:w="15" w:type="dxa"/>
            </w:tcMar>
            <w:vAlign w:val="center"/>
          </w:tcPr>
          <w:p w14:paraId="773867E6">
            <w:pPr>
              <w:keepNext w:val="0"/>
              <w:keepLines w:val="0"/>
              <w:pageBreakBefore w:val="0"/>
              <w:kinsoku/>
              <w:wordWrap/>
              <w:overflowPunct/>
              <w:topLinePunct w:val="0"/>
              <w:bidi w:val="0"/>
              <w:spacing w:line="560" w:lineRule="exact"/>
              <w:jc w:val="center"/>
              <w:rPr>
                <w:rFonts w:hint="default" w:ascii="Times New Roman" w:hAnsi="Times New Roman" w:eastAsia="仿宋_GB2312" w:cs="Times New Roman"/>
                <w:color w:val="000000"/>
                <w:szCs w:val="21"/>
                <w:lang w:val="en-US" w:eastAsia="zh-CN"/>
              </w:rPr>
            </w:pPr>
            <w:r>
              <w:rPr>
                <w:rFonts w:hint="eastAsia" w:ascii="Times New Roman" w:hAnsi="Times New Roman" w:eastAsia="仿宋_GB2312" w:cs="Times New Roman"/>
                <w:color w:val="000000"/>
                <w:szCs w:val="21"/>
                <w:lang w:val="en-US" w:eastAsia="zh-CN"/>
              </w:rPr>
              <w:t>2</w:t>
            </w:r>
          </w:p>
        </w:tc>
        <w:tc>
          <w:tcPr>
            <w:tcW w:w="1187" w:type="dxa"/>
            <w:tcBorders>
              <w:top w:val="single" w:color="000000" w:sz="8" w:space="0"/>
              <w:left w:val="single" w:color="000000" w:sz="8" w:space="0"/>
              <w:bottom w:val="single" w:color="000000" w:sz="8" w:space="0"/>
              <w:right w:val="single" w:color="000000" w:sz="8" w:space="0"/>
            </w:tcBorders>
            <w:noWrap w:val="0"/>
            <w:tcMar>
              <w:top w:w="15" w:type="dxa"/>
              <w:left w:w="15" w:type="dxa"/>
              <w:bottom w:w="15" w:type="dxa"/>
              <w:right w:w="15" w:type="dxa"/>
            </w:tcMar>
            <w:vAlign w:val="center"/>
          </w:tcPr>
          <w:p w14:paraId="72923716">
            <w:pPr>
              <w:keepNext w:val="0"/>
              <w:keepLines w:val="0"/>
              <w:pageBreakBefore w:val="0"/>
              <w:kinsoku/>
              <w:wordWrap/>
              <w:overflowPunct/>
              <w:topLinePunct w:val="0"/>
              <w:bidi w:val="0"/>
              <w:spacing w:line="560" w:lineRule="exact"/>
              <w:jc w:val="center"/>
              <w:rPr>
                <w:rFonts w:hint="default" w:ascii="Times New Roman" w:hAnsi="Times New Roman" w:eastAsia="仿宋_GB2312" w:cs="Times New Roman"/>
                <w:color w:val="000000"/>
                <w:szCs w:val="21"/>
                <w:lang w:val="en-US" w:eastAsia="zh-CN"/>
              </w:rPr>
            </w:pPr>
            <w:r>
              <w:rPr>
                <w:rFonts w:hint="eastAsia" w:ascii="Times New Roman" w:hAnsi="Times New Roman" w:eastAsia="仿宋_GB2312" w:cs="Times New Roman"/>
                <w:color w:val="000000"/>
                <w:szCs w:val="21"/>
                <w:lang w:val="en-US" w:eastAsia="zh-CN"/>
              </w:rPr>
              <w:t>4</w:t>
            </w:r>
          </w:p>
        </w:tc>
        <w:tc>
          <w:tcPr>
            <w:tcW w:w="1134" w:type="dxa"/>
            <w:tcBorders>
              <w:top w:val="single" w:color="000000" w:sz="8" w:space="0"/>
              <w:left w:val="single" w:color="000000" w:sz="8" w:space="0"/>
              <w:bottom w:val="single" w:color="000000" w:sz="8" w:space="0"/>
              <w:right w:val="single" w:color="000000" w:sz="8" w:space="0"/>
            </w:tcBorders>
            <w:noWrap w:val="0"/>
            <w:tcMar>
              <w:top w:w="15" w:type="dxa"/>
              <w:left w:w="15" w:type="dxa"/>
              <w:bottom w:w="15" w:type="dxa"/>
              <w:right w:w="15" w:type="dxa"/>
            </w:tcMar>
            <w:vAlign w:val="center"/>
          </w:tcPr>
          <w:p w14:paraId="31A41BFF">
            <w:pPr>
              <w:keepNext w:val="0"/>
              <w:keepLines w:val="0"/>
              <w:pageBreakBefore w:val="0"/>
              <w:kinsoku/>
              <w:wordWrap/>
              <w:overflowPunct/>
              <w:topLinePunct w:val="0"/>
              <w:bidi w:val="0"/>
              <w:spacing w:line="560" w:lineRule="exact"/>
              <w:jc w:val="center"/>
              <w:rPr>
                <w:rFonts w:hint="default" w:ascii="Times New Roman" w:hAnsi="Times New Roman" w:eastAsia="仿宋_GB2312" w:cs="Times New Roman"/>
                <w:color w:val="000000"/>
                <w:szCs w:val="21"/>
                <w:lang w:val="en-US" w:eastAsia="zh-CN"/>
              </w:rPr>
            </w:pPr>
            <w:r>
              <w:rPr>
                <w:rFonts w:hint="eastAsia" w:ascii="Times New Roman" w:hAnsi="Times New Roman" w:eastAsia="仿宋_GB2312" w:cs="Times New Roman"/>
                <w:color w:val="000000"/>
                <w:szCs w:val="21"/>
                <w:lang w:val="en-US" w:eastAsia="zh-CN"/>
              </w:rPr>
              <w:t>2</w:t>
            </w:r>
          </w:p>
        </w:tc>
        <w:tc>
          <w:tcPr>
            <w:tcW w:w="708" w:type="dxa"/>
            <w:tcBorders>
              <w:top w:val="single" w:color="000000" w:sz="8" w:space="0"/>
              <w:left w:val="single" w:color="000000" w:sz="8" w:space="0"/>
              <w:bottom w:val="single" w:color="000000" w:sz="8" w:space="0"/>
              <w:right w:val="single" w:color="000000" w:sz="8" w:space="0"/>
            </w:tcBorders>
            <w:noWrap w:val="0"/>
            <w:tcMar>
              <w:top w:w="15" w:type="dxa"/>
              <w:left w:w="15" w:type="dxa"/>
              <w:bottom w:w="15" w:type="dxa"/>
              <w:right w:w="15" w:type="dxa"/>
            </w:tcMar>
            <w:vAlign w:val="center"/>
          </w:tcPr>
          <w:p w14:paraId="5F66EAE8">
            <w:pPr>
              <w:keepNext w:val="0"/>
              <w:keepLines w:val="0"/>
              <w:pageBreakBefore w:val="0"/>
              <w:kinsoku/>
              <w:wordWrap/>
              <w:overflowPunct/>
              <w:topLinePunct w:val="0"/>
              <w:bidi w:val="0"/>
              <w:spacing w:line="560" w:lineRule="exact"/>
              <w:jc w:val="center"/>
              <w:rPr>
                <w:rFonts w:hint="default" w:ascii="Times New Roman" w:hAnsi="Times New Roman" w:eastAsia="仿宋_GB2312" w:cs="Times New Roman"/>
                <w:color w:val="000000"/>
                <w:szCs w:val="21"/>
                <w:lang w:val="en-US" w:eastAsia="zh-CN"/>
              </w:rPr>
            </w:pPr>
            <w:r>
              <w:rPr>
                <w:rFonts w:hint="eastAsia" w:ascii="Times New Roman" w:hAnsi="Times New Roman" w:eastAsia="仿宋_GB2312" w:cs="Times New Roman"/>
                <w:color w:val="000000"/>
                <w:szCs w:val="21"/>
                <w:lang w:val="en-US" w:eastAsia="zh-CN"/>
              </w:rPr>
              <w:t>32</w:t>
            </w:r>
          </w:p>
        </w:tc>
      </w:tr>
      <w:tr w14:paraId="69E3C4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531" w:hRule="exact"/>
        </w:trPr>
        <w:tc>
          <w:tcPr>
            <w:tcW w:w="2543" w:type="dxa"/>
            <w:tcBorders>
              <w:top w:val="single" w:color="000000" w:sz="8" w:space="0"/>
              <w:left w:val="single" w:color="000000" w:sz="8" w:space="0"/>
              <w:bottom w:val="single" w:color="000000" w:sz="8" w:space="0"/>
              <w:right w:val="single" w:color="000000" w:sz="8" w:space="0"/>
            </w:tcBorders>
            <w:noWrap w:val="0"/>
            <w:tcMar>
              <w:top w:w="15" w:type="dxa"/>
              <w:left w:w="15" w:type="dxa"/>
              <w:bottom w:w="15" w:type="dxa"/>
              <w:right w:w="15" w:type="dxa"/>
            </w:tcMar>
            <w:vAlign w:val="center"/>
          </w:tcPr>
          <w:p w14:paraId="7FABDF36">
            <w:pPr>
              <w:keepNext w:val="0"/>
              <w:keepLines w:val="0"/>
              <w:pageBreakBefore w:val="0"/>
              <w:widowControl/>
              <w:kinsoku/>
              <w:wordWrap/>
              <w:overflowPunct/>
              <w:topLinePunct w:val="0"/>
              <w:bidi w:val="0"/>
              <w:spacing w:line="560" w:lineRule="exact"/>
              <w:textAlignment w:val="center"/>
              <w:rPr>
                <w:rFonts w:hint="default" w:ascii="Times New Roman" w:hAnsi="Times New Roman" w:eastAsia="仿宋_GB2312" w:cs="Times New Roman"/>
                <w:color w:val="000000"/>
                <w:kern w:val="0"/>
                <w:szCs w:val="21"/>
              </w:rPr>
            </w:pPr>
            <w:r>
              <w:rPr>
                <w:rFonts w:hint="default" w:ascii="Times New Roman" w:hAnsi="Times New Roman" w:eastAsia="仿宋_GB2312" w:cs="Times New Roman"/>
                <w:color w:val="000000"/>
                <w:kern w:val="0"/>
                <w:szCs w:val="21"/>
                <w:lang w:eastAsia="zh-CN"/>
              </w:rPr>
              <w:t>总</w:t>
            </w:r>
            <w:r>
              <w:rPr>
                <w:rFonts w:hint="default" w:ascii="Times New Roman" w:hAnsi="Times New Roman" w:eastAsia="仿宋_GB2312" w:cs="Times New Roman"/>
                <w:color w:val="000000"/>
                <w:kern w:val="0"/>
                <w:szCs w:val="21"/>
              </w:rPr>
              <w:t>合计</w:t>
            </w:r>
          </w:p>
        </w:tc>
        <w:tc>
          <w:tcPr>
            <w:tcW w:w="1134" w:type="dxa"/>
            <w:tcBorders>
              <w:top w:val="single" w:color="000000" w:sz="8" w:space="0"/>
              <w:left w:val="single" w:color="000000" w:sz="8" w:space="0"/>
              <w:bottom w:val="single" w:color="000000" w:sz="8" w:space="0"/>
              <w:right w:val="single" w:color="000000" w:sz="8" w:space="0"/>
            </w:tcBorders>
            <w:noWrap w:val="0"/>
            <w:tcMar>
              <w:top w:w="15" w:type="dxa"/>
              <w:left w:w="15" w:type="dxa"/>
              <w:bottom w:w="15" w:type="dxa"/>
              <w:right w:w="15" w:type="dxa"/>
            </w:tcMar>
            <w:vAlign w:val="center"/>
          </w:tcPr>
          <w:p w14:paraId="21CA2C00">
            <w:pPr>
              <w:keepNext w:val="0"/>
              <w:keepLines w:val="0"/>
              <w:pageBreakBefore w:val="0"/>
              <w:widowControl/>
              <w:suppressLineNumbers w:val="0"/>
              <w:kinsoku/>
              <w:wordWrap/>
              <w:overflowPunct/>
              <w:topLinePunct w:val="0"/>
              <w:bidi w:val="0"/>
              <w:spacing w:line="560" w:lineRule="exact"/>
              <w:jc w:val="center"/>
              <w:textAlignment w:val="center"/>
              <w:rPr>
                <w:rFonts w:hint="default" w:ascii="Times New Roman" w:hAnsi="Times New Roman" w:eastAsia="仿宋_GB2312" w:cs="Times New Roman"/>
                <w:color w:val="000000"/>
                <w:szCs w:val="21"/>
                <w:lang w:val="en-US" w:eastAsia="zh-CN"/>
              </w:rPr>
            </w:pPr>
            <w:r>
              <w:rPr>
                <w:rFonts w:hint="eastAsia" w:ascii="Times New Roman" w:hAnsi="Times New Roman" w:cs="Times New Roman"/>
                <w:i w:val="0"/>
                <w:color w:val="000000"/>
                <w:kern w:val="0"/>
                <w:sz w:val="21"/>
                <w:szCs w:val="21"/>
                <w:u w:val="none"/>
                <w:lang w:val="en-US" w:eastAsia="zh-CN" w:bidi="ar"/>
              </w:rPr>
              <w:t>6</w:t>
            </w:r>
          </w:p>
        </w:tc>
        <w:tc>
          <w:tcPr>
            <w:tcW w:w="1276" w:type="dxa"/>
            <w:tcBorders>
              <w:top w:val="single" w:color="000000" w:sz="8" w:space="0"/>
              <w:left w:val="single" w:color="000000" w:sz="8" w:space="0"/>
              <w:bottom w:val="single" w:color="000000" w:sz="8" w:space="0"/>
              <w:right w:val="single" w:color="000000" w:sz="8" w:space="0"/>
            </w:tcBorders>
            <w:noWrap w:val="0"/>
            <w:tcMar>
              <w:top w:w="15" w:type="dxa"/>
              <w:left w:w="15" w:type="dxa"/>
              <w:bottom w:w="15" w:type="dxa"/>
              <w:right w:w="15" w:type="dxa"/>
            </w:tcMar>
            <w:vAlign w:val="center"/>
          </w:tcPr>
          <w:p w14:paraId="45C1B2FB">
            <w:pPr>
              <w:keepNext w:val="0"/>
              <w:keepLines w:val="0"/>
              <w:pageBreakBefore w:val="0"/>
              <w:widowControl/>
              <w:suppressLineNumbers w:val="0"/>
              <w:kinsoku/>
              <w:wordWrap/>
              <w:overflowPunct/>
              <w:topLinePunct w:val="0"/>
              <w:bidi w:val="0"/>
              <w:spacing w:line="560" w:lineRule="exact"/>
              <w:jc w:val="center"/>
              <w:textAlignment w:val="center"/>
              <w:rPr>
                <w:rFonts w:hint="default" w:ascii="Times New Roman" w:hAnsi="Times New Roman" w:eastAsia="仿宋_GB2312" w:cs="Times New Roman"/>
                <w:color w:val="000000"/>
                <w:szCs w:val="21"/>
                <w:lang w:val="en-US" w:eastAsia="zh-CN"/>
              </w:rPr>
            </w:pPr>
            <w:r>
              <w:rPr>
                <w:rFonts w:hint="eastAsia" w:ascii="Times New Roman" w:hAnsi="Times New Roman" w:eastAsia="仿宋_GB2312" w:cs="Times New Roman"/>
                <w:color w:val="000000"/>
                <w:szCs w:val="21"/>
                <w:lang w:val="en-US" w:eastAsia="zh-CN"/>
              </w:rPr>
              <w:t>4</w:t>
            </w:r>
          </w:p>
        </w:tc>
        <w:tc>
          <w:tcPr>
            <w:tcW w:w="1275" w:type="dxa"/>
            <w:tcBorders>
              <w:top w:val="single" w:color="000000" w:sz="8" w:space="0"/>
              <w:left w:val="single" w:color="000000" w:sz="8" w:space="0"/>
              <w:bottom w:val="single" w:color="000000" w:sz="8" w:space="0"/>
              <w:right w:val="single" w:color="000000" w:sz="8" w:space="0"/>
            </w:tcBorders>
            <w:noWrap w:val="0"/>
            <w:tcMar>
              <w:top w:w="15" w:type="dxa"/>
              <w:left w:w="15" w:type="dxa"/>
              <w:bottom w:w="15" w:type="dxa"/>
              <w:right w:w="15" w:type="dxa"/>
            </w:tcMar>
            <w:vAlign w:val="center"/>
          </w:tcPr>
          <w:p w14:paraId="251F7F44">
            <w:pPr>
              <w:keepNext w:val="0"/>
              <w:keepLines w:val="0"/>
              <w:pageBreakBefore w:val="0"/>
              <w:widowControl/>
              <w:suppressLineNumbers w:val="0"/>
              <w:kinsoku/>
              <w:wordWrap/>
              <w:overflowPunct/>
              <w:topLinePunct w:val="0"/>
              <w:bidi w:val="0"/>
              <w:spacing w:line="560" w:lineRule="exact"/>
              <w:jc w:val="center"/>
              <w:textAlignment w:val="center"/>
              <w:rPr>
                <w:rFonts w:hint="default" w:ascii="Times New Roman" w:hAnsi="Times New Roman" w:eastAsia="仿宋_GB2312" w:cs="Times New Roman"/>
                <w:color w:val="000000"/>
                <w:szCs w:val="21"/>
                <w:lang w:val="en-US" w:eastAsia="zh-CN"/>
              </w:rPr>
            </w:pPr>
            <w:r>
              <w:rPr>
                <w:rFonts w:hint="eastAsia" w:ascii="Times New Roman" w:hAnsi="Times New Roman" w:eastAsia="仿宋_GB2312" w:cs="Times New Roman"/>
                <w:color w:val="000000"/>
                <w:szCs w:val="21"/>
                <w:lang w:val="en-US" w:eastAsia="zh-CN"/>
              </w:rPr>
              <w:t>10</w:t>
            </w:r>
          </w:p>
        </w:tc>
        <w:tc>
          <w:tcPr>
            <w:tcW w:w="1276" w:type="dxa"/>
            <w:tcBorders>
              <w:top w:val="single" w:color="000000" w:sz="8" w:space="0"/>
              <w:left w:val="single" w:color="000000" w:sz="8" w:space="0"/>
              <w:bottom w:val="single" w:color="000000" w:sz="8" w:space="0"/>
              <w:right w:val="single" w:color="000000" w:sz="8" w:space="0"/>
            </w:tcBorders>
            <w:noWrap w:val="0"/>
            <w:tcMar>
              <w:top w:w="15" w:type="dxa"/>
              <w:left w:w="15" w:type="dxa"/>
              <w:bottom w:w="15" w:type="dxa"/>
              <w:right w:w="15" w:type="dxa"/>
            </w:tcMar>
            <w:vAlign w:val="center"/>
          </w:tcPr>
          <w:p w14:paraId="04872F33">
            <w:pPr>
              <w:keepNext w:val="0"/>
              <w:keepLines w:val="0"/>
              <w:pageBreakBefore w:val="0"/>
              <w:widowControl/>
              <w:suppressLineNumbers w:val="0"/>
              <w:kinsoku/>
              <w:wordWrap/>
              <w:overflowPunct/>
              <w:topLinePunct w:val="0"/>
              <w:bidi w:val="0"/>
              <w:spacing w:line="560" w:lineRule="exact"/>
              <w:jc w:val="center"/>
              <w:textAlignment w:val="center"/>
              <w:rPr>
                <w:rFonts w:hint="default" w:ascii="Times New Roman" w:hAnsi="Times New Roman" w:eastAsia="仿宋_GB2312" w:cs="Times New Roman"/>
                <w:color w:val="000000"/>
                <w:szCs w:val="21"/>
                <w:lang w:val="en-US" w:eastAsia="zh-CN"/>
              </w:rPr>
            </w:pPr>
            <w:r>
              <w:rPr>
                <w:rFonts w:hint="eastAsia" w:ascii="Times New Roman" w:hAnsi="Times New Roman" w:cs="Times New Roman"/>
                <w:i w:val="0"/>
                <w:color w:val="000000"/>
                <w:kern w:val="0"/>
                <w:sz w:val="21"/>
                <w:szCs w:val="21"/>
                <w:u w:val="none"/>
                <w:lang w:val="en-US" w:eastAsia="zh-CN" w:bidi="ar"/>
              </w:rPr>
              <w:t>6</w:t>
            </w:r>
          </w:p>
        </w:tc>
        <w:tc>
          <w:tcPr>
            <w:tcW w:w="1276" w:type="dxa"/>
            <w:tcBorders>
              <w:top w:val="single" w:color="000000" w:sz="8" w:space="0"/>
              <w:left w:val="single" w:color="000000" w:sz="8" w:space="0"/>
              <w:bottom w:val="single" w:color="000000" w:sz="8" w:space="0"/>
              <w:right w:val="single" w:color="000000" w:sz="8" w:space="0"/>
            </w:tcBorders>
            <w:noWrap w:val="0"/>
            <w:tcMar>
              <w:top w:w="15" w:type="dxa"/>
              <w:left w:w="15" w:type="dxa"/>
              <w:bottom w:w="15" w:type="dxa"/>
              <w:right w:w="15" w:type="dxa"/>
            </w:tcMar>
            <w:vAlign w:val="center"/>
          </w:tcPr>
          <w:p w14:paraId="760F9632">
            <w:pPr>
              <w:keepNext w:val="0"/>
              <w:keepLines w:val="0"/>
              <w:pageBreakBefore w:val="0"/>
              <w:widowControl/>
              <w:suppressLineNumbers w:val="0"/>
              <w:kinsoku/>
              <w:wordWrap/>
              <w:overflowPunct/>
              <w:topLinePunct w:val="0"/>
              <w:bidi w:val="0"/>
              <w:spacing w:line="560" w:lineRule="exact"/>
              <w:jc w:val="center"/>
              <w:textAlignment w:val="center"/>
              <w:rPr>
                <w:rFonts w:hint="default" w:ascii="Times New Roman" w:hAnsi="Times New Roman" w:eastAsia="仿宋_GB2312" w:cs="Times New Roman"/>
                <w:color w:val="000000"/>
                <w:szCs w:val="21"/>
                <w:lang w:val="en-US" w:eastAsia="zh-CN"/>
              </w:rPr>
            </w:pPr>
            <w:r>
              <w:rPr>
                <w:rFonts w:hint="eastAsia" w:ascii="Times New Roman" w:hAnsi="Times New Roman" w:eastAsia="仿宋_GB2312" w:cs="Times New Roman"/>
                <w:color w:val="000000"/>
                <w:szCs w:val="21"/>
                <w:lang w:val="en-US" w:eastAsia="zh-CN"/>
              </w:rPr>
              <w:t>10</w:t>
            </w:r>
          </w:p>
        </w:tc>
        <w:tc>
          <w:tcPr>
            <w:tcW w:w="1134" w:type="dxa"/>
            <w:tcBorders>
              <w:top w:val="single" w:color="000000" w:sz="8" w:space="0"/>
              <w:left w:val="single" w:color="000000" w:sz="8" w:space="0"/>
              <w:bottom w:val="single" w:color="000000" w:sz="8" w:space="0"/>
              <w:right w:val="single" w:color="000000" w:sz="8" w:space="0"/>
            </w:tcBorders>
            <w:noWrap w:val="0"/>
            <w:tcMar>
              <w:top w:w="15" w:type="dxa"/>
              <w:left w:w="15" w:type="dxa"/>
              <w:bottom w:w="15" w:type="dxa"/>
              <w:right w:w="15" w:type="dxa"/>
            </w:tcMar>
            <w:vAlign w:val="center"/>
          </w:tcPr>
          <w:p w14:paraId="0E95B07F">
            <w:pPr>
              <w:keepNext w:val="0"/>
              <w:keepLines w:val="0"/>
              <w:pageBreakBefore w:val="0"/>
              <w:widowControl/>
              <w:suppressLineNumbers w:val="0"/>
              <w:kinsoku/>
              <w:wordWrap/>
              <w:overflowPunct/>
              <w:topLinePunct w:val="0"/>
              <w:bidi w:val="0"/>
              <w:spacing w:line="560" w:lineRule="exact"/>
              <w:jc w:val="center"/>
              <w:textAlignment w:val="center"/>
              <w:rPr>
                <w:rFonts w:hint="default" w:ascii="Times New Roman" w:hAnsi="Times New Roman" w:eastAsia="仿宋_GB2312" w:cs="Times New Roman"/>
                <w:color w:val="000000"/>
                <w:szCs w:val="21"/>
                <w:lang w:val="en-US" w:eastAsia="zh-CN"/>
              </w:rPr>
            </w:pPr>
            <w:r>
              <w:rPr>
                <w:rFonts w:hint="eastAsia" w:ascii="Times New Roman" w:hAnsi="Times New Roman" w:cs="Times New Roman"/>
                <w:i w:val="0"/>
                <w:color w:val="000000"/>
                <w:kern w:val="0"/>
                <w:sz w:val="21"/>
                <w:szCs w:val="21"/>
                <w:u w:val="none"/>
                <w:lang w:val="en-US" w:eastAsia="zh-CN" w:bidi="ar"/>
              </w:rPr>
              <w:t>6</w:t>
            </w:r>
          </w:p>
        </w:tc>
        <w:tc>
          <w:tcPr>
            <w:tcW w:w="1187" w:type="dxa"/>
            <w:tcBorders>
              <w:top w:val="single" w:color="000000" w:sz="8" w:space="0"/>
              <w:left w:val="single" w:color="000000" w:sz="8" w:space="0"/>
              <w:bottom w:val="single" w:color="000000" w:sz="8" w:space="0"/>
              <w:right w:val="single" w:color="000000" w:sz="8" w:space="0"/>
            </w:tcBorders>
            <w:noWrap w:val="0"/>
            <w:tcMar>
              <w:top w:w="15" w:type="dxa"/>
              <w:left w:w="15" w:type="dxa"/>
              <w:bottom w:w="15" w:type="dxa"/>
              <w:right w:w="15" w:type="dxa"/>
            </w:tcMar>
            <w:vAlign w:val="center"/>
          </w:tcPr>
          <w:p w14:paraId="26D05CEA">
            <w:pPr>
              <w:keepNext w:val="0"/>
              <w:keepLines w:val="0"/>
              <w:pageBreakBefore w:val="0"/>
              <w:widowControl/>
              <w:suppressLineNumbers w:val="0"/>
              <w:kinsoku/>
              <w:wordWrap/>
              <w:overflowPunct/>
              <w:topLinePunct w:val="0"/>
              <w:bidi w:val="0"/>
              <w:spacing w:line="560" w:lineRule="exact"/>
              <w:jc w:val="center"/>
              <w:textAlignment w:val="center"/>
              <w:rPr>
                <w:rFonts w:hint="default" w:ascii="Times New Roman" w:hAnsi="Times New Roman" w:eastAsia="仿宋_GB2312" w:cs="Times New Roman"/>
                <w:color w:val="000000"/>
                <w:szCs w:val="21"/>
                <w:lang w:val="en-US" w:eastAsia="zh-CN"/>
              </w:rPr>
            </w:pPr>
            <w:r>
              <w:rPr>
                <w:rFonts w:hint="eastAsia" w:ascii="Times New Roman" w:hAnsi="Times New Roman" w:eastAsia="仿宋_GB2312" w:cs="Times New Roman"/>
                <w:color w:val="000000"/>
                <w:szCs w:val="21"/>
                <w:lang w:val="en-US" w:eastAsia="zh-CN"/>
              </w:rPr>
              <w:t>6</w:t>
            </w:r>
          </w:p>
        </w:tc>
        <w:tc>
          <w:tcPr>
            <w:tcW w:w="1134" w:type="dxa"/>
            <w:tcBorders>
              <w:top w:val="single" w:color="000000" w:sz="8" w:space="0"/>
              <w:left w:val="single" w:color="000000" w:sz="8" w:space="0"/>
              <w:bottom w:val="single" w:color="000000" w:sz="8" w:space="0"/>
              <w:right w:val="single" w:color="000000" w:sz="8" w:space="0"/>
            </w:tcBorders>
            <w:noWrap w:val="0"/>
            <w:tcMar>
              <w:top w:w="15" w:type="dxa"/>
              <w:left w:w="15" w:type="dxa"/>
              <w:bottom w:w="15" w:type="dxa"/>
              <w:right w:w="15" w:type="dxa"/>
            </w:tcMar>
            <w:vAlign w:val="center"/>
          </w:tcPr>
          <w:p w14:paraId="4884306C">
            <w:pPr>
              <w:keepNext w:val="0"/>
              <w:keepLines w:val="0"/>
              <w:pageBreakBefore w:val="0"/>
              <w:widowControl/>
              <w:suppressLineNumbers w:val="0"/>
              <w:kinsoku/>
              <w:wordWrap/>
              <w:overflowPunct/>
              <w:topLinePunct w:val="0"/>
              <w:bidi w:val="0"/>
              <w:spacing w:line="560" w:lineRule="exact"/>
              <w:jc w:val="center"/>
              <w:textAlignment w:val="center"/>
              <w:rPr>
                <w:rFonts w:hint="default" w:ascii="Times New Roman" w:hAnsi="Times New Roman" w:eastAsia="仿宋_GB2312" w:cs="Times New Roman"/>
                <w:color w:val="000000"/>
                <w:szCs w:val="21"/>
                <w:lang w:val="en-US" w:eastAsia="zh-CN"/>
              </w:rPr>
            </w:pPr>
            <w:r>
              <w:rPr>
                <w:rFonts w:hint="eastAsia" w:ascii="Times New Roman" w:hAnsi="Times New Roman" w:eastAsia="仿宋_GB2312" w:cs="Times New Roman"/>
                <w:color w:val="000000"/>
                <w:szCs w:val="21"/>
                <w:lang w:val="en-US" w:eastAsia="zh-CN"/>
              </w:rPr>
              <w:t>2</w:t>
            </w:r>
          </w:p>
        </w:tc>
        <w:tc>
          <w:tcPr>
            <w:tcW w:w="708" w:type="dxa"/>
            <w:tcBorders>
              <w:top w:val="single" w:color="000000" w:sz="8" w:space="0"/>
              <w:left w:val="single" w:color="000000" w:sz="8" w:space="0"/>
              <w:bottom w:val="single" w:color="000000" w:sz="8" w:space="0"/>
              <w:right w:val="single" w:color="000000" w:sz="8" w:space="0"/>
            </w:tcBorders>
            <w:noWrap w:val="0"/>
            <w:tcMar>
              <w:top w:w="15" w:type="dxa"/>
              <w:left w:w="15" w:type="dxa"/>
              <w:bottom w:w="15" w:type="dxa"/>
              <w:right w:w="15" w:type="dxa"/>
            </w:tcMar>
            <w:vAlign w:val="center"/>
          </w:tcPr>
          <w:p w14:paraId="264048F1">
            <w:pPr>
              <w:keepNext w:val="0"/>
              <w:keepLines w:val="0"/>
              <w:pageBreakBefore w:val="0"/>
              <w:kinsoku/>
              <w:wordWrap/>
              <w:overflowPunct/>
              <w:topLinePunct w:val="0"/>
              <w:bidi w:val="0"/>
              <w:spacing w:line="560" w:lineRule="exact"/>
              <w:jc w:val="center"/>
              <w:rPr>
                <w:rFonts w:hint="default" w:ascii="Times New Roman" w:hAnsi="Times New Roman" w:eastAsia="仿宋_GB2312" w:cs="Times New Roman"/>
                <w:color w:val="000000"/>
                <w:szCs w:val="21"/>
                <w:lang w:val="en-US" w:eastAsia="zh-CN"/>
              </w:rPr>
            </w:pPr>
            <w:r>
              <w:rPr>
                <w:rFonts w:hint="eastAsia" w:ascii="Times New Roman" w:hAnsi="Times New Roman" w:eastAsia="仿宋_GB2312" w:cs="Times New Roman"/>
                <w:color w:val="000000"/>
                <w:szCs w:val="21"/>
                <w:lang w:val="en-US" w:eastAsia="zh-CN"/>
              </w:rPr>
              <w:t>50</w:t>
            </w:r>
          </w:p>
        </w:tc>
      </w:tr>
      <w:tr w14:paraId="1B589F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01" w:hRule="atLeast"/>
        </w:trPr>
        <w:tc>
          <w:tcPr>
            <w:tcW w:w="12943" w:type="dxa"/>
            <w:gridSpan w:val="10"/>
            <w:tcBorders>
              <w:top w:val="single" w:color="000000" w:sz="8" w:space="0"/>
              <w:left w:val="single" w:color="000000" w:sz="8" w:space="0"/>
              <w:bottom w:val="single" w:color="000000" w:sz="8" w:space="0"/>
              <w:right w:val="single" w:color="000000" w:sz="8" w:space="0"/>
            </w:tcBorders>
            <w:noWrap w:val="0"/>
            <w:tcMar>
              <w:top w:w="15" w:type="dxa"/>
              <w:left w:w="15" w:type="dxa"/>
              <w:bottom w:w="15" w:type="dxa"/>
              <w:right w:w="15" w:type="dxa"/>
            </w:tcMar>
            <w:vAlign w:val="center"/>
          </w:tcPr>
          <w:p w14:paraId="38146F82">
            <w:pPr>
              <w:pStyle w:val="13"/>
              <w:keepNext w:val="0"/>
              <w:keepLines w:val="0"/>
              <w:pageBreakBefore w:val="0"/>
              <w:kinsoku/>
              <w:wordWrap/>
              <w:overflowPunct/>
              <w:topLinePunct w:val="0"/>
              <w:bidi w:val="0"/>
              <w:spacing w:line="560" w:lineRule="exact"/>
              <w:rPr>
                <w:rFonts w:hint="default" w:ascii="Times New Roman" w:hAnsi="Times New Roman" w:cs="Times New Roman"/>
                <w:lang w:val="en-US" w:eastAsia="zh-CN"/>
              </w:rPr>
            </w:pPr>
            <w:r>
              <w:rPr>
                <w:rFonts w:hint="default" w:ascii="Times New Roman" w:hAnsi="Times New Roman" w:cs="Times New Roman"/>
                <w:sz w:val="21"/>
                <w:szCs w:val="21"/>
              </w:rPr>
              <w:t>备注：</w:t>
            </w:r>
            <w:r>
              <w:rPr>
                <w:rFonts w:hint="default" w:ascii="Times New Roman" w:hAnsi="Times New Roman" w:cs="Times New Roman"/>
                <w:sz w:val="21"/>
                <w:szCs w:val="21"/>
                <w:lang w:val="en-US" w:eastAsia="zh-CN"/>
              </w:rPr>
              <w:t>重点检查企业</w:t>
            </w:r>
            <w:r>
              <w:rPr>
                <w:rFonts w:hint="eastAsia" w:ascii="Times New Roman" w:hAnsi="Times New Roman" w:cs="Times New Roman"/>
                <w:sz w:val="21"/>
                <w:szCs w:val="21"/>
                <w:lang w:val="en-US" w:eastAsia="zh-CN"/>
              </w:rPr>
              <w:t>32</w:t>
            </w:r>
            <w:r>
              <w:rPr>
                <w:rFonts w:hint="default" w:ascii="Times New Roman" w:hAnsi="Times New Roman" w:cs="Times New Roman"/>
                <w:sz w:val="21"/>
                <w:szCs w:val="21"/>
                <w:lang w:val="en-US" w:eastAsia="zh-CN"/>
              </w:rPr>
              <w:t>家，一般检查</w:t>
            </w:r>
            <w:r>
              <w:rPr>
                <w:rFonts w:hint="eastAsia" w:ascii="Times New Roman" w:hAnsi="Times New Roman" w:cs="Times New Roman"/>
                <w:sz w:val="21"/>
                <w:szCs w:val="21"/>
                <w:lang w:val="en-US" w:eastAsia="zh-CN"/>
              </w:rPr>
              <w:t>18</w:t>
            </w:r>
            <w:r>
              <w:rPr>
                <w:rFonts w:hint="default" w:ascii="Times New Roman" w:hAnsi="Times New Roman" w:cs="Times New Roman"/>
                <w:sz w:val="21"/>
                <w:szCs w:val="21"/>
                <w:lang w:val="en-US" w:eastAsia="zh-CN"/>
              </w:rPr>
              <w:t>家，重点检查为计划总数的</w:t>
            </w:r>
            <w:r>
              <w:rPr>
                <w:rFonts w:hint="eastAsia" w:ascii="Times New Roman" w:hAnsi="Times New Roman" w:cs="Times New Roman"/>
                <w:sz w:val="21"/>
                <w:szCs w:val="21"/>
                <w:lang w:val="en-US" w:eastAsia="zh-CN"/>
              </w:rPr>
              <w:t>64</w:t>
            </w:r>
            <w:r>
              <w:rPr>
                <w:rFonts w:hint="default" w:ascii="Times New Roman" w:hAnsi="Times New Roman" w:cs="Times New Roman"/>
                <w:sz w:val="21"/>
                <w:szCs w:val="21"/>
                <w:lang w:val="en-US" w:eastAsia="zh-CN"/>
              </w:rPr>
              <w:t>%。</w:t>
            </w:r>
          </w:p>
        </w:tc>
      </w:tr>
    </w:tbl>
    <w:p w14:paraId="0179FC8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eastAsia="仿宋_GB2312"/>
          <w:sz w:val="32"/>
          <w:szCs w:val="32"/>
          <w:lang w:val="en-US"/>
        </w:rPr>
        <w:sectPr>
          <w:headerReference r:id="rId6" w:type="default"/>
          <w:footerReference r:id="rId7" w:type="default"/>
          <w:pgSz w:w="16838" w:h="11906" w:orient="landscape"/>
          <w:pgMar w:top="1440" w:right="1985" w:bottom="1287" w:left="2268" w:header="851" w:footer="1418" w:gutter="0"/>
          <w:cols w:space="720" w:num="1"/>
          <w:docGrid w:linePitch="312" w:charSpace="0"/>
        </w:sectPr>
      </w:pPr>
    </w:p>
    <w:p w14:paraId="28AA4D1C">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_GB2312" w:eastAsia="仿宋_GB2312"/>
          <w:sz w:val="32"/>
          <w:szCs w:val="32"/>
          <w:lang w:val="en-US"/>
        </w:rPr>
      </w:pPr>
    </w:p>
    <w:p w14:paraId="32F0371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eastAsia="仿宋_GB2312"/>
          <w:sz w:val="32"/>
          <w:szCs w:val="32"/>
          <w:lang w:val="en-US"/>
        </w:rPr>
      </w:pPr>
    </w:p>
    <w:p w14:paraId="21B238B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eastAsia="仿宋_GB2312"/>
          <w:sz w:val="32"/>
          <w:szCs w:val="32"/>
          <w:lang w:val="en-US"/>
        </w:rPr>
      </w:pPr>
    </w:p>
    <w:p w14:paraId="6909792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eastAsia="仿宋_GB2312"/>
          <w:sz w:val="32"/>
          <w:szCs w:val="32"/>
          <w:lang w:val="en-US"/>
        </w:rPr>
      </w:pPr>
    </w:p>
    <w:p w14:paraId="3ACB417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eastAsia="仿宋_GB2312"/>
          <w:sz w:val="32"/>
          <w:szCs w:val="32"/>
          <w:lang w:val="en-US"/>
        </w:rPr>
      </w:pPr>
    </w:p>
    <w:p w14:paraId="0343079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eastAsia="仿宋_GB2312"/>
          <w:sz w:val="32"/>
          <w:szCs w:val="32"/>
          <w:lang w:val="en-US"/>
        </w:rPr>
      </w:pPr>
    </w:p>
    <w:p w14:paraId="36B45DD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eastAsia="仿宋_GB2312"/>
          <w:sz w:val="32"/>
          <w:szCs w:val="32"/>
          <w:lang w:val="en-US"/>
        </w:rPr>
      </w:pPr>
    </w:p>
    <w:p w14:paraId="5621A67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eastAsia="仿宋_GB2312"/>
          <w:sz w:val="32"/>
          <w:szCs w:val="32"/>
          <w:lang w:val="en-US"/>
        </w:rPr>
      </w:pPr>
    </w:p>
    <w:p w14:paraId="726C419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eastAsia="仿宋_GB2312"/>
          <w:sz w:val="32"/>
          <w:szCs w:val="32"/>
          <w:lang w:val="en-US"/>
        </w:rPr>
      </w:pPr>
    </w:p>
    <w:p w14:paraId="737ACF2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eastAsia="仿宋_GB2312"/>
          <w:sz w:val="32"/>
          <w:szCs w:val="32"/>
          <w:lang w:val="en-US"/>
        </w:rPr>
      </w:pPr>
    </w:p>
    <w:p w14:paraId="4BC0D5C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eastAsia="仿宋_GB2312"/>
          <w:sz w:val="32"/>
          <w:szCs w:val="32"/>
          <w:lang w:val="en-US"/>
        </w:rPr>
      </w:pPr>
    </w:p>
    <w:p w14:paraId="42BFBB1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eastAsia="仿宋_GB2312"/>
          <w:sz w:val="32"/>
          <w:szCs w:val="32"/>
          <w:lang w:val="en-US"/>
        </w:rPr>
      </w:pPr>
    </w:p>
    <w:p w14:paraId="409475A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eastAsia="仿宋_GB2312"/>
          <w:sz w:val="32"/>
          <w:szCs w:val="32"/>
          <w:lang w:val="en-US"/>
        </w:rPr>
      </w:pPr>
    </w:p>
    <w:p w14:paraId="5A2B048F">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_GB2312" w:eastAsia="仿宋_GB2312"/>
          <w:sz w:val="32"/>
          <w:szCs w:val="32"/>
          <w:lang w:val="en-US"/>
        </w:rPr>
      </w:pPr>
      <w:r>
        <w:rPr>
          <w:rFonts w:hint="default" w:ascii="黑体" w:hAnsi="黑体" w:eastAsia="黑体"/>
          <w:sz w:val="32"/>
          <w:szCs w:val="32"/>
          <w:lang w:val="en-US"/>
        </w:rPr>
        <mc:AlternateContent>
          <mc:Choice Requires="wps">
            <w:drawing>
              <wp:anchor distT="0" distB="0" distL="114300" distR="114300" simplePos="0" relativeHeight="251659264" behindDoc="0" locked="0" layoutInCell="1" allowOverlap="1">
                <wp:simplePos x="0" y="0"/>
                <wp:positionH relativeFrom="column">
                  <wp:posOffset>-8255</wp:posOffset>
                </wp:positionH>
                <wp:positionV relativeFrom="paragraph">
                  <wp:posOffset>7934960</wp:posOffset>
                </wp:positionV>
                <wp:extent cx="5764530" cy="386715"/>
                <wp:effectExtent l="0" t="0" r="0" b="0"/>
                <wp:wrapNone/>
                <wp:docPr id="3" name="文本框 3"/>
                <wp:cNvGraphicFramePr/>
                <a:graphic xmlns:a="http://schemas.openxmlformats.org/drawingml/2006/main">
                  <a:graphicData uri="http://schemas.microsoft.com/office/word/2010/wordprocessingShape">
                    <wps:wsp>
                      <wps:cNvSpPr txBox="1"/>
                      <wps:spPr>
                        <a:xfrm>
                          <a:off x="0" y="0"/>
                          <a:ext cx="5764530" cy="386715"/>
                        </a:xfrm>
                        <a:prstGeom prst="rect">
                          <a:avLst/>
                        </a:prstGeom>
                        <a:noFill/>
                        <a:ln>
                          <a:noFill/>
                        </a:ln>
                      </wps:spPr>
                      <wps:txbx>
                        <w:txbxContent>
                          <w:p w14:paraId="78A6D4E1">
                            <w:pPr>
                              <w:pStyle w:val="5"/>
                              <w:ind w:firstLine="240" w:firstLineChars="100"/>
                              <w:rPr>
                                <w:sz w:val="28"/>
                                <w:szCs w:val="28"/>
                              </w:rPr>
                            </w:pPr>
                            <w:r>
                              <w:rPr>
                                <w:rFonts w:hAnsi="仿宋"/>
                                <w:spacing w:val="-20"/>
                                <w:sz w:val="28"/>
                                <w:szCs w:val="28"/>
                              </w:rPr>
                              <w:t xml:space="preserve">秦皇岛市应急管理局办公室                   </w:t>
                            </w:r>
                            <w:r>
                              <w:rPr>
                                <w:rFonts w:hint="eastAsia" w:hAnsi="仿宋"/>
                                <w:spacing w:val="-20"/>
                                <w:sz w:val="28"/>
                                <w:szCs w:val="28"/>
                              </w:rPr>
                              <w:t xml:space="preserve">       </w:t>
                            </w:r>
                            <w:r>
                              <w:rPr>
                                <w:rFonts w:hAnsi="仿宋"/>
                                <w:spacing w:val="-20"/>
                                <w:sz w:val="28"/>
                                <w:szCs w:val="28"/>
                              </w:rPr>
                              <w:t xml:space="preserve">    </w:t>
                            </w:r>
                            <w:r>
                              <w:rPr>
                                <w:rFonts w:ascii="Times New Roman" w:hAnsi="Times New Roman"/>
                                <w:sz w:val="28"/>
                                <w:szCs w:val="28"/>
                              </w:rPr>
                              <w:t>202</w:t>
                            </w:r>
                            <w:r>
                              <w:rPr>
                                <w:rFonts w:hint="eastAsia" w:ascii="Times New Roman" w:hAnsi="Times New Roman"/>
                                <w:sz w:val="28"/>
                                <w:szCs w:val="28"/>
                              </w:rPr>
                              <w:t>3</w:t>
                            </w:r>
                            <w:r>
                              <w:rPr>
                                <w:rFonts w:hAnsi="仿宋"/>
                                <w:spacing w:val="-20"/>
                                <w:sz w:val="28"/>
                                <w:szCs w:val="28"/>
                              </w:rPr>
                              <w:t>年</w:t>
                            </w:r>
                            <w:r>
                              <w:rPr>
                                <w:rFonts w:hint="eastAsia" w:ascii="Times New Roman" w:hAnsi="Times New Roman"/>
                                <w:sz w:val="28"/>
                                <w:szCs w:val="28"/>
                                <w:lang w:val="en-US" w:eastAsia="zh-CN"/>
                              </w:rPr>
                              <w:t>2</w:t>
                            </w:r>
                            <w:r>
                              <w:rPr>
                                <w:rFonts w:hAnsi="仿宋"/>
                                <w:spacing w:val="-20"/>
                                <w:sz w:val="28"/>
                                <w:szCs w:val="28"/>
                              </w:rPr>
                              <w:t>月</w:t>
                            </w:r>
                            <w:r>
                              <w:rPr>
                                <w:rFonts w:hint="eastAsia" w:ascii="Times New Roman" w:hAnsi="Times New Roman"/>
                                <w:sz w:val="28"/>
                                <w:szCs w:val="28"/>
                                <w:lang w:val="en-US" w:eastAsia="zh-CN"/>
                              </w:rPr>
                              <w:t>19</w:t>
                            </w:r>
                            <w:r>
                              <w:rPr>
                                <w:rFonts w:hint="eastAsia" w:ascii="Times New Roman" w:hAnsi="Times New Roman"/>
                                <w:sz w:val="28"/>
                                <w:szCs w:val="28"/>
                              </w:rPr>
                              <w:t>日</w:t>
                            </w:r>
                            <w:r>
                              <w:rPr>
                                <w:rFonts w:hAnsi="仿宋"/>
                                <w:spacing w:val="-20"/>
                                <w:sz w:val="28"/>
                                <w:szCs w:val="28"/>
                              </w:rPr>
                              <w:t>印发</w:t>
                            </w:r>
                          </w:p>
                        </w:txbxContent>
                      </wps:txbx>
                      <wps:bodyPr upright="1"/>
                    </wps:wsp>
                  </a:graphicData>
                </a:graphic>
              </wp:anchor>
            </w:drawing>
          </mc:Choice>
          <mc:Fallback>
            <w:pict>
              <v:shape id="_x0000_s1026" o:spid="_x0000_s1026" o:spt="202" type="#_x0000_t202" style="position:absolute;left:0pt;margin-left:-0.65pt;margin-top:624.8pt;height:30.45pt;width:453.9pt;z-index:251659264;mso-width-relative:page;mso-height-relative:page;" filled="f" stroked="f" coordsize="21600,21600" o:gfxdata="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7xpYP9gA&#10;AAAMAQAADwAAAAAAAAABACAAAAAiAAAAZHJzL2Rvd25yZXYueG1sUEsBAhQAFAAAAAgAh07iQLi6&#10;EaCtAQAATgMAAA4AAAAAAAAAAQAgAAAAJwEAAGRycy9lMm9Eb2MueG1sUEsFBgAAAAAGAAYAWQEA&#10;AEYFAAAAAA==&#10;">
                <v:fill on="f" focussize="0,0"/>
                <v:stroke on="f"/>
                <v:imagedata o:title=""/>
                <o:lock v:ext="edit" aspectratio="f"/>
                <v:textbox>
                  <w:txbxContent>
                    <w:p w14:paraId="78A6D4E1">
                      <w:pPr>
                        <w:pStyle w:val="5"/>
                        <w:ind w:firstLine="240" w:firstLineChars="100"/>
                        <w:rPr>
                          <w:sz w:val="28"/>
                          <w:szCs w:val="28"/>
                        </w:rPr>
                      </w:pPr>
                      <w:r>
                        <w:rPr>
                          <w:rFonts w:hAnsi="仿宋"/>
                          <w:spacing w:val="-20"/>
                          <w:sz w:val="28"/>
                          <w:szCs w:val="28"/>
                        </w:rPr>
                        <w:t xml:space="preserve">秦皇岛市应急管理局办公室                   </w:t>
                      </w:r>
                      <w:r>
                        <w:rPr>
                          <w:rFonts w:hint="eastAsia" w:hAnsi="仿宋"/>
                          <w:spacing w:val="-20"/>
                          <w:sz w:val="28"/>
                          <w:szCs w:val="28"/>
                        </w:rPr>
                        <w:t xml:space="preserve">       </w:t>
                      </w:r>
                      <w:r>
                        <w:rPr>
                          <w:rFonts w:hAnsi="仿宋"/>
                          <w:spacing w:val="-20"/>
                          <w:sz w:val="28"/>
                          <w:szCs w:val="28"/>
                        </w:rPr>
                        <w:t xml:space="preserve">    </w:t>
                      </w:r>
                      <w:r>
                        <w:rPr>
                          <w:rFonts w:ascii="Times New Roman" w:hAnsi="Times New Roman"/>
                          <w:sz w:val="28"/>
                          <w:szCs w:val="28"/>
                        </w:rPr>
                        <w:t>202</w:t>
                      </w:r>
                      <w:r>
                        <w:rPr>
                          <w:rFonts w:hint="eastAsia" w:ascii="Times New Roman" w:hAnsi="Times New Roman"/>
                          <w:sz w:val="28"/>
                          <w:szCs w:val="28"/>
                        </w:rPr>
                        <w:t>3</w:t>
                      </w:r>
                      <w:r>
                        <w:rPr>
                          <w:rFonts w:hAnsi="仿宋"/>
                          <w:spacing w:val="-20"/>
                          <w:sz w:val="28"/>
                          <w:szCs w:val="28"/>
                        </w:rPr>
                        <w:t>年</w:t>
                      </w:r>
                      <w:r>
                        <w:rPr>
                          <w:rFonts w:hint="eastAsia" w:ascii="Times New Roman" w:hAnsi="Times New Roman"/>
                          <w:sz w:val="28"/>
                          <w:szCs w:val="28"/>
                          <w:lang w:val="en-US" w:eastAsia="zh-CN"/>
                        </w:rPr>
                        <w:t>2</w:t>
                      </w:r>
                      <w:r>
                        <w:rPr>
                          <w:rFonts w:hAnsi="仿宋"/>
                          <w:spacing w:val="-20"/>
                          <w:sz w:val="28"/>
                          <w:szCs w:val="28"/>
                        </w:rPr>
                        <w:t>月</w:t>
                      </w:r>
                      <w:r>
                        <w:rPr>
                          <w:rFonts w:hint="eastAsia" w:ascii="Times New Roman" w:hAnsi="Times New Roman"/>
                          <w:sz w:val="28"/>
                          <w:szCs w:val="28"/>
                          <w:lang w:val="en-US" w:eastAsia="zh-CN"/>
                        </w:rPr>
                        <w:t>19</w:t>
                      </w:r>
                      <w:r>
                        <w:rPr>
                          <w:rFonts w:hint="eastAsia" w:ascii="Times New Roman" w:hAnsi="Times New Roman"/>
                          <w:sz w:val="28"/>
                          <w:szCs w:val="28"/>
                        </w:rPr>
                        <w:t>日</w:t>
                      </w:r>
                      <w:r>
                        <w:rPr>
                          <w:rFonts w:hAnsi="仿宋"/>
                          <w:spacing w:val="-20"/>
                          <w:sz w:val="28"/>
                          <w:szCs w:val="28"/>
                        </w:rPr>
                        <w:t>印发</w:t>
                      </w:r>
                    </w:p>
                  </w:txbxContent>
                </v:textbox>
              </v:shape>
            </w:pict>
          </mc:Fallback>
        </mc:AlternateContent>
      </w:r>
      <w:r>
        <w:rPr>
          <w:rFonts w:hint="default" w:ascii="黑体" w:hAnsi="黑体" w:eastAsia="黑体"/>
          <w:sz w:val="32"/>
          <w:szCs w:val="32"/>
          <w:lang w:val="en-US"/>
        </w:rPr>
        <mc:AlternateContent>
          <mc:Choice Requires="wps">
            <w:drawing>
              <wp:anchor distT="0" distB="0" distL="114300" distR="114300" simplePos="0" relativeHeight="251661312" behindDoc="0" locked="0" layoutInCell="1" allowOverlap="1">
                <wp:simplePos x="0" y="0"/>
                <wp:positionH relativeFrom="margin">
                  <wp:posOffset>-8255</wp:posOffset>
                </wp:positionH>
                <wp:positionV relativeFrom="page">
                  <wp:posOffset>9563100</wp:posOffset>
                </wp:positionV>
                <wp:extent cx="5723890" cy="0"/>
                <wp:effectExtent l="0" t="4445" r="0" b="5080"/>
                <wp:wrapNone/>
                <wp:docPr id="2" name="直接连接符 2"/>
                <wp:cNvGraphicFramePr/>
                <a:graphic xmlns:a="http://schemas.openxmlformats.org/drawingml/2006/main">
                  <a:graphicData uri="http://schemas.microsoft.com/office/word/2010/wordprocessingShape">
                    <wps:wsp>
                      <wps:cNvCnPr/>
                      <wps:spPr>
                        <a:xfrm>
                          <a:off x="0" y="0"/>
                          <a:ext cx="572389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65pt;margin-top:753pt;height:0pt;width:450.7pt;mso-position-horizontal-relative:margin;mso-position-vertical-relative:page;z-index:251661312;mso-width-relative:page;mso-height-relative:page;" filled="f" stroked="t" coordsize="21600,21600" o:gfxdata="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MyQ/6tUAAAAMAQAADwAAAAAAAAABACAAAAAiAAAAZHJzL2Rvd25yZXYueG1sUEsBAhQA&#10;FAAAAAgAh07iQOF/VRD1AQAA5AMAAA4AAAAAAAAAAQAgAAAAJAEAAGRycy9lMm9Eb2MueG1sUEsF&#10;BgAAAAAGAAYAWQEAAIsFAAAAAA==&#10;">
                <v:fill on="f" focussize="0,0"/>
                <v:stroke color="#000000" joinstyle="round"/>
                <v:imagedata o:title=""/>
                <o:lock v:ext="edit" aspectratio="f"/>
              </v:line>
            </w:pict>
          </mc:Fallback>
        </mc:AlternateContent>
      </w:r>
      <w:r>
        <w:rPr>
          <w:rFonts w:hint="default" w:ascii="黑体" w:hAnsi="黑体" w:eastAsia="黑体"/>
          <w:sz w:val="32"/>
          <w:szCs w:val="32"/>
          <w:lang w:val="en-US"/>
        </w:rPr>
        <mc:AlternateContent>
          <mc:Choice Requires="wps">
            <w:drawing>
              <wp:anchor distT="0" distB="0" distL="114300" distR="114300" simplePos="0" relativeHeight="251660288" behindDoc="0" locked="0" layoutInCell="1" allowOverlap="1">
                <wp:simplePos x="0" y="0"/>
                <wp:positionH relativeFrom="margin">
                  <wp:posOffset>-8255</wp:posOffset>
                </wp:positionH>
                <wp:positionV relativeFrom="page">
                  <wp:posOffset>9176385</wp:posOffset>
                </wp:positionV>
                <wp:extent cx="5723890" cy="0"/>
                <wp:effectExtent l="0" t="4445" r="0" b="5080"/>
                <wp:wrapNone/>
                <wp:docPr id="1" name="直接连接符 1"/>
                <wp:cNvGraphicFramePr/>
                <a:graphic xmlns:a="http://schemas.openxmlformats.org/drawingml/2006/main">
                  <a:graphicData uri="http://schemas.microsoft.com/office/word/2010/wordprocessingShape">
                    <wps:wsp>
                      <wps:cNvCnPr/>
                      <wps:spPr>
                        <a:xfrm>
                          <a:off x="0" y="0"/>
                          <a:ext cx="572389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65pt;margin-top:722.55pt;height:0pt;width:450.7pt;mso-position-horizontal-relative:margin;mso-position-vertical-relative:page;z-index:251660288;mso-width-relative:page;mso-height-relative:page;" filled="f" stroked="t" coordsize="21600,21600" o:gfxdata="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L27IPHXAAAADAEAAA8AAAAAAAAAAQAgAAAAIgAAAGRycy9kb3ducmV2LnhtbFBLAQIU&#10;ABQAAAAIAIdO4kDSwvmn9AEAAOQDAAAOAAAAAAAAAAEAIAAAACYBAABkcnMvZTJvRG9jLnhtbFBL&#10;BQYAAAAABgAGAFkBAACMBQAAAAA=&#10;">
                <v:fill on="f" focussize="0,0"/>
                <v:stroke color="#000000" joinstyle="round"/>
                <v:imagedata o:title=""/>
                <o:lock v:ext="edit" aspectratio="f"/>
              </v:line>
            </w:pict>
          </mc:Fallback>
        </mc:AlternateContent>
      </w:r>
    </w:p>
    <w:p w14:paraId="64CBD1D9"/>
    <w:sectPr>
      <w:pgSz w:w="11906" w:h="16838"/>
      <w:pgMar w:top="1985" w:right="1287" w:bottom="2268" w:left="1440" w:header="851" w:footer="1418"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altName w:val="仿宋_GB2312"/>
    <w:panose1 w:val="02010601030101010101"/>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CESI仿宋-GB2312">
    <w:altName w:val="仿宋"/>
    <w:panose1 w:val="02000500000000000000"/>
    <w:charset w:val="86"/>
    <w:family w:val="auto"/>
    <w:pitch w:val="default"/>
    <w:sig w:usb0="00000000" w:usb1="00000000" w:usb2="00000010" w:usb3="00000000" w:csb0="0004000F" w:csb1="00000000"/>
  </w:font>
  <w:font w:name="小标宋">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华文仿宋">
    <w:altName w:val="仿宋"/>
    <w:panose1 w:val="02010600040101010101"/>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9A229C">
    <w:pPr>
      <w:pStyle w:val="6"/>
      <w:wordWrap w:val="0"/>
      <w:jc w:val="right"/>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33EE3C1">
                          <w:pPr>
                            <w:pStyle w:val="6"/>
                            <w:wordWrap w:val="0"/>
                            <w:jc w:val="right"/>
                          </w:pPr>
                          <w:r>
                            <w:rPr>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5</w:t>
                          </w:r>
                          <w:r>
                            <w:rPr>
                              <w:sz w:val="28"/>
                              <w:szCs w:val="28"/>
                            </w:rPr>
                            <w:fldChar w:fldCharType="end"/>
                          </w:r>
                          <w:r>
                            <w:rPr>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F+UJskBAACZ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UX5QmyQEAAJkDAAAOAAAAAAAAAAEAIAAAAB4BAABkcnMvZTJvRG9j&#10;LnhtbFBLBQYAAAAABgAGAFkBAABZBQAAAAA=&#10;">
              <v:fill on="f" focussize="0,0"/>
              <v:stroke on="f"/>
              <v:imagedata o:title=""/>
              <o:lock v:ext="edit" aspectratio="f"/>
              <v:textbox inset="0mm,0mm,0mm,0mm" style="mso-fit-shape-to-text:t;">
                <w:txbxContent>
                  <w:p w14:paraId="233EE3C1">
                    <w:pPr>
                      <w:pStyle w:val="6"/>
                      <w:wordWrap w:val="0"/>
                      <w:jc w:val="right"/>
                    </w:pPr>
                    <w:r>
                      <w:rPr>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5</w:t>
                    </w:r>
                    <w:r>
                      <w:rPr>
                        <w:sz w:val="28"/>
                        <w:szCs w:val="28"/>
                      </w:rPr>
                      <w:fldChar w:fldCharType="end"/>
                    </w:r>
                    <w:r>
                      <w:rPr>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08BAD4">
    <w:pPr>
      <w:pStyle w:val="6"/>
    </w:pPr>
    <w:r>
      <w:rPr>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6</w:t>
    </w:r>
    <w:r>
      <w:rPr>
        <w:sz w:val="28"/>
        <w:szCs w:val="28"/>
      </w:rPr>
      <w:fldChar w:fldCharType="end"/>
    </w:r>
    <w:r>
      <w:rPr>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ED5009">
    <w:pPr>
      <w:pStyle w:val="6"/>
      <w:framePr w:wrap="around" w:vAnchor="text" w:hAnchor="margin" w:xAlign="outside" w:y="1"/>
      <w:rPr>
        <w:rStyle w:val="10"/>
        <w:rFonts w:hint="default"/>
        <w:sz w:val="28"/>
      </w:rPr>
    </w:pPr>
    <w:r>
      <w:rPr>
        <w:rStyle w:val="10"/>
        <w:rFonts w:hint="default"/>
        <w:sz w:val="28"/>
      </w:rPr>
      <w:t xml:space="preserve">— </w:t>
    </w:r>
    <w:r>
      <w:rPr>
        <w:sz w:val="28"/>
      </w:rPr>
      <w:fldChar w:fldCharType="begin"/>
    </w:r>
    <w:r>
      <w:rPr>
        <w:rStyle w:val="10"/>
        <w:rFonts w:hint="default"/>
        <w:sz w:val="28"/>
      </w:rPr>
      <w:instrText xml:space="preserve">PAGE  </w:instrText>
    </w:r>
    <w:r>
      <w:rPr>
        <w:sz w:val="28"/>
      </w:rPr>
      <w:fldChar w:fldCharType="separate"/>
    </w:r>
    <w:r>
      <w:rPr>
        <w:rStyle w:val="10"/>
        <w:rFonts w:hint="default"/>
        <w:sz w:val="28"/>
      </w:rPr>
      <w:t>8</w:t>
    </w:r>
    <w:r>
      <w:rPr>
        <w:sz w:val="28"/>
      </w:rPr>
      <w:fldChar w:fldCharType="end"/>
    </w:r>
    <w:r>
      <w:rPr>
        <w:rStyle w:val="10"/>
        <w:rFonts w:hint="default"/>
        <w:sz w:val="28"/>
      </w:rPr>
      <w:t xml:space="preserve"> —</w:t>
    </w:r>
  </w:p>
  <w:p w14:paraId="40B303C0">
    <w:pPr>
      <w:pStyle w:val="6"/>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4277E1">
    <w:pPr>
      <w:pStyle w:val="7"/>
      <w:pBdr>
        <w:bottom w:val="none" w:color="auto" w:sz="0" w:space="0"/>
      </w:pBdr>
    </w:pPr>
  </w:p>
  <w:p w14:paraId="6D9A763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9D6851">
    <w:pPr>
      <w:pStyle w:val="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B8B8197"/>
    <w:multiLevelType w:val="singleLevel"/>
    <w:tmpl w:val="3B8B8197"/>
    <w:lvl w:ilvl="0" w:tentative="0">
      <w:start w:val="2"/>
      <w:numFmt w:val="chineseCounting"/>
      <w:suff w:val="nothing"/>
      <w:lvlText w:val="%1、"/>
      <w:lvlJc w:val="left"/>
      <w:rPr>
        <w:rFonts w:hint="eastAsia"/>
      </w:rPr>
    </w:lvl>
  </w:abstractNum>
  <w:abstractNum w:abstractNumId="1">
    <w:nsid w:val="6F81D084"/>
    <w:multiLevelType w:val="singleLevel"/>
    <w:tmpl w:val="6F81D084"/>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E134945"/>
    <w:rsid w:val="4C0F3D40"/>
    <w:rsid w:val="574D1397"/>
    <w:rsid w:val="7DB04E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Normal Indent"/>
    <w:basedOn w:val="1"/>
    <w:next w:val="3"/>
    <w:qFormat/>
    <w:uiPriority w:val="0"/>
    <w:pPr>
      <w:ind w:firstLine="420" w:firstLineChars="200"/>
    </w:pPr>
    <w:rPr>
      <w:rFonts w:eastAsia="仿宋_GB2312"/>
      <w:sz w:val="30"/>
    </w:rPr>
  </w:style>
  <w:style w:type="paragraph" w:styleId="3">
    <w:name w:val="Subtitle"/>
    <w:basedOn w:val="1"/>
    <w:qFormat/>
    <w:uiPriority w:val="0"/>
    <w:pPr>
      <w:spacing w:line="700" w:lineRule="exact"/>
      <w:jc w:val="center"/>
      <w:outlineLvl w:val="1"/>
    </w:pPr>
    <w:rPr>
      <w:rFonts w:ascii="Arial" w:hAnsi="Arial" w:eastAsia="方正小标宋简体" w:cs="Arial"/>
      <w:b/>
      <w:bCs/>
      <w:kern w:val="28"/>
      <w:sz w:val="44"/>
      <w:szCs w:val="44"/>
    </w:rPr>
  </w:style>
  <w:style w:type="paragraph" w:styleId="4">
    <w:name w:val="Body Text"/>
    <w:basedOn w:val="1"/>
    <w:next w:val="1"/>
    <w:qFormat/>
    <w:uiPriority w:val="0"/>
    <w:pPr>
      <w:jc w:val="center"/>
    </w:pPr>
    <w:rPr>
      <w:rFonts w:ascii="仿宋_GB2312" w:eastAsia="仿宋_GB2312"/>
      <w:b/>
      <w:sz w:val="44"/>
      <w:szCs w:val="44"/>
    </w:rPr>
  </w:style>
  <w:style w:type="paragraph" w:styleId="5">
    <w:name w:val="Date"/>
    <w:basedOn w:val="1"/>
    <w:next w:val="1"/>
    <w:qFormat/>
    <w:uiPriority w:val="0"/>
    <w:rPr>
      <w:rFonts w:ascii="仿宋_GB2312" w:eastAsia="仿宋_GB2312"/>
      <w:sz w:val="32"/>
    </w:rPr>
  </w:style>
  <w:style w:type="paragraph" w:styleId="6">
    <w:name w:val="footer"/>
    <w:basedOn w:val="1"/>
    <w:qFormat/>
    <w:uiPriority w:val="99"/>
    <w:pPr>
      <w:tabs>
        <w:tab w:val="center" w:pos="4153"/>
        <w:tab w:val="right" w:pos="8306"/>
      </w:tabs>
      <w:snapToGrid w:val="0"/>
      <w:jc w:val="left"/>
    </w:pPr>
    <w:rPr>
      <w:sz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rPr>
  </w:style>
  <w:style w:type="character" w:styleId="10">
    <w:name w:val="page number"/>
    <w:basedOn w:val="9"/>
    <w:qFormat/>
    <w:uiPriority w:val="0"/>
  </w:style>
  <w:style w:type="paragraph" w:customStyle="1" w:styleId="11">
    <w:name w:val="UserStyle_0"/>
    <w:basedOn w:val="1"/>
    <w:next w:val="1"/>
    <w:qFormat/>
    <w:uiPriority w:val="0"/>
    <w:pPr>
      <w:ind w:firstLine="200" w:firstLineChars="200"/>
      <w:jc w:val="left"/>
    </w:pPr>
    <w:rPr>
      <w:rFonts w:ascii="Times New Roman" w:hAnsi="Times New Roman" w:eastAsia="仿宋_GB2312"/>
    </w:rPr>
  </w:style>
  <w:style w:type="paragraph" w:customStyle="1" w:styleId="12">
    <w:name w:val="Body Text First Indent1"/>
    <w:basedOn w:val="4"/>
    <w:next w:val="1"/>
    <w:qFormat/>
    <w:uiPriority w:val="99"/>
    <w:pPr>
      <w:spacing w:after="120" w:line="578" w:lineRule="exact"/>
      <w:ind w:firstLine="880" w:firstLineChars="200"/>
    </w:pPr>
    <w:rPr>
      <w:rFonts w:ascii="Calibri" w:hAnsi="Calibri" w:eastAsia="仿宋"/>
    </w:rPr>
  </w:style>
  <w:style w:type="paragraph" w:customStyle="1" w:styleId="13">
    <w:name w:val="Plain Text1"/>
    <w:basedOn w:val="1"/>
    <w:qFormat/>
    <w:uiPriority w:val="0"/>
    <w:rPr>
      <w:rFonts w:ascii="宋体" w:cs="宋体"/>
      <w:szCs w:val="21"/>
    </w:rPr>
  </w:style>
  <w:style w:type="paragraph" w:customStyle="1" w:styleId="14">
    <w:name w:val="Default"/>
    <w:qFormat/>
    <w:uiPriority w:val="0"/>
    <w:pPr>
      <w:widowControl w:val="0"/>
      <w:autoSpaceDE w:val="0"/>
      <w:autoSpaceDN w:val="0"/>
      <w:adjustRightInd w:val="0"/>
    </w:pPr>
    <w:rPr>
      <w:rFonts w:hint="eastAsia" w:ascii="方正小标宋_GBK" w:hAnsi="方正小标宋_GBK" w:eastAsia="方正小标宋_GBK"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32</Pages>
  <Words>5281</Words>
  <Characters>5451</Characters>
  <Lines>0</Lines>
  <Paragraphs>0</Paragraphs>
  <TotalTime>2</TotalTime>
  <ScaleCrop>false</ScaleCrop>
  <LinksUpToDate>false</LinksUpToDate>
  <CharactersWithSpaces>5467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2025-02-13T07:12:00Z</dcterms:created>
  <dc:creator>Administrator</dc:creator>
  <cp:lastModifiedBy>hsjdj</cp:lastModifiedBy>
  <dcterms:modified xsi:type="dcterms:W3CDTF">2025-05-14T08:16:51Z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eyJoZGlkIjoiZGUzOTY2ZThlOTgwNTg0Y2ZlNDBmOThjNjM1YWM1ODgiLCJ1c2VySWQiOiI4OTE0MDgwNTMifQ==</vt:lpwstr>
  </property>
  <property fmtid="{D5CDD505-2E9C-101B-9397-08002B2CF9AE}" pid="4" name="ICV">
    <vt:lpwstr>A9FBA5213BE44B78B20D859F6FA3A00D_13</vt:lpwstr>
  </property>
</Properties>
</file>